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26" w:rsidRPr="005F4626" w:rsidRDefault="005F4626" w:rsidP="005F4626">
      <w:pPr>
        <w:shd w:val="clear" w:color="auto" w:fill="FFFFFF"/>
        <w:spacing w:after="100" w:afterAutospacing="1" w:line="240" w:lineRule="auto"/>
        <w:jc w:val="both"/>
        <w:outlineLvl w:val="0"/>
        <w:rPr>
          <w:rFonts w:ascii="Times New Roman" w:eastAsia="Times New Roman" w:hAnsi="Times New Roman" w:cs="Times New Roman"/>
          <w:b/>
          <w:bCs/>
          <w:color w:val="1F2527"/>
          <w:kern w:val="36"/>
          <w:sz w:val="28"/>
          <w:szCs w:val="28"/>
          <w:lang w:eastAsia="ru-RU"/>
        </w:rPr>
      </w:pPr>
      <w:r w:rsidRPr="005F4626">
        <w:rPr>
          <w:rFonts w:ascii="Times New Roman" w:eastAsia="Times New Roman" w:hAnsi="Times New Roman" w:cs="Times New Roman"/>
          <w:b/>
          <w:bCs/>
          <w:color w:val="1F2527"/>
          <w:kern w:val="36"/>
          <w:sz w:val="28"/>
          <w:szCs w:val="28"/>
          <w:lang w:eastAsia="ru-RU"/>
        </w:rPr>
        <w:t>Оплата труда работников коммерческих организаций</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color w:val="1F2527"/>
          <w:sz w:val="28"/>
          <w:szCs w:val="28"/>
          <w:lang w:eastAsia="ru-RU"/>
        </w:rPr>
        <w:t>Вопрос: Какой порядок оплаты за работу в ночное время при сменном режиме работы в коммерческой организации?</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bCs/>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w:t>
      </w:r>
      <w:r w:rsidRPr="005F4626">
        <w:rPr>
          <w:rFonts w:ascii="Times New Roman" w:eastAsia="Times New Roman" w:hAnsi="Times New Roman" w:cs="Times New Roman"/>
          <w:color w:val="1F2527"/>
          <w:sz w:val="28"/>
          <w:szCs w:val="28"/>
          <w:lang w:eastAsia="ru-RU"/>
        </w:rPr>
        <w:t> Согласно статье 70 Трудового кодекса Республики Беларусь (далее – ТК) 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(тарифного оклада) работника.</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Иными словами, наниматель обязан оплатить в повышенном размере ночные часы (с 22 часов до 6 часов) или все часы ночной смены. Ночной сменой считается смена, в которой более 50 процентов приходится на ночные часы.</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Если смена не является ночной сменой, то доплаты производятся только за каждый час работы в ночное время (с 22 часов до 6 часов).</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Конкретный порядок оплаты работы в ночную смену при сменном режиме работы должен быть определен в локальном правовом акте организации.</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color w:val="1F2527"/>
          <w:sz w:val="28"/>
          <w:szCs w:val="28"/>
          <w:lang w:eastAsia="ru-RU"/>
        </w:rPr>
        <w:t>Вопрос: В организации установлен режим неполного рабочего времени в виде неполной рабочей недели (например, трехдневной – понедельник, вторник, среда). В случае привлечения к работе работника в четверг или пятницу, будет ли являться работа в указанные дни работой в выходные дни?</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bCs/>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w:t>
      </w:r>
      <w:r w:rsidRPr="005F4626">
        <w:rPr>
          <w:rFonts w:ascii="Times New Roman" w:eastAsia="Times New Roman" w:hAnsi="Times New Roman" w:cs="Times New Roman"/>
          <w:color w:val="1F2527"/>
          <w:sz w:val="28"/>
          <w:szCs w:val="28"/>
          <w:lang w:eastAsia="ru-RU"/>
        </w:rPr>
        <w:t> Нет, данная работа не является работой в выходной день.</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Согласно статьям 136 и 137 Трудового кодекса Республики Беларусь (далее – ТК) право на выходные дни имеют все работники и могут использовать их по своему усмотрению.</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При пятидневной рабочей неделе предоставляются два выходных дня каждую календарную неделю. При шестидневной рабочей неделе предоставляется один выходной день.</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Общим выходным днем для всех является воскресенье. 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 Оба выходных дня предоставляются, как правило, подряд.</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Согласно статье 118 ТК при неполной рабочей неделе сокращается число рабочих дней в неделю.</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5F4626">
        <w:rPr>
          <w:rFonts w:ascii="Times New Roman" w:eastAsia="Times New Roman" w:hAnsi="Times New Roman" w:cs="Times New Roman"/>
          <w:color w:val="1F2527"/>
          <w:sz w:val="28"/>
          <w:szCs w:val="28"/>
          <w:lang w:eastAsia="ru-RU"/>
        </w:rPr>
        <w:lastRenderedPageBreak/>
        <w:t>Таким образом, если в организации с пятидневной рабочей неделей работникам установлен режим неполного рабочего времени в виде неполной рабочей недели (например, понедельник, вторник, среда), то выполненная ими в отдельные нерабочие дни (четверг, пятница) работа в пределах рабочего времени, определенного с учетом норм статей 112-117 ТК, не является работой в выходной день.</w:t>
      </w:r>
      <w:proofErr w:type="gramEnd"/>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Следовательно, оплата ее производится в соответствии с нормами статьи 290 ТК.</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color w:val="1F2527"/>
          <w:sz w:val="28"/>
          <w:szCs w:val="28"/>
          <w:lang w:eastAsia="ru-RU"/>
        </w:rPr>
        <w:t>Вопрос. Как определяется оплата труда работнику при временном переводе его на другую должность служащего?</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 </w:t>
      </w:r>
      <w:r w:rsidRPr="005F4626">
        <w:rPr>
          <w:rFonts w:ascii="Times New Roman" w:eastAsia="Times New Roman" w:hAnsi="Times New Roman" w:cs="Times New Roman"/>
          <w:color w:val="1F2527"/>
          <w:sz w:val="28"/>
          <w:szCs w:val="28"/>
          <w:lang w:eastAsia="ru-RU"/>
        </w:rPr>
        <w:t>Согласно статье 32</w:t>
      </w:r>
      <w:r w:rsidRPr="005F4626">
        <w:rPr>
          <w:rFonts w:ascii="Times New Roman" w:eastAsia="Times New Roman" w:hAnsi="Times New Roman" w:cs="Times New Roman"/>
          <w:color w:val="1F2527"/>
          <w:sz w:val="28"/>
          <w:szCs w:val="28"/>
          <w:vertAlign w:val="superscript"/>
          <w:lang w:eastAsia="ru-RU"/>
        </w:rPr>
        <w:t>1</w:t>
      </w:r>
      <w:r w:rsidRPr="005F4626">
        <w:rPr>
          <w:rFonts w:ascii="Times New Roman" w:eastAsia="Times New Roman" w:hAnsi="Times New Roman" w:cs="Times New Roman"/>
          <w:color w:val="1F2527"/>
          <w:sz w:val="28"/>
          <w:szCs w:val="28"/>
          <w:lang w:eastAsia="ru-RU"/>
        </w:rPr>
        <w:t> Трудового кодекса Республики Беларусь (далее – ТК) временный перевод производится на основании </w:t>
      </w:r>
      <w:r w:rsidRPr="005F4626">
        <w:rPr>
          <w:rFonts w:ascii="Times New Roman" w:eastAsia="Times New Roman" w:hAnsi="Times New Roman" w:cs="Times New Roman"/>
          <w:b/>
          <w:bCs/>
          <w:color w:val="1F2527"/>
          <w:sz w:val="28"/>
          <w:szCs w:val="28"/>
          <w:lang w:eastAsia="ru-RU"/>
        </w:rPr>
        <w:t>приказа</w:t>
      </w:r>
      <w:r w:rsidRPr="005F4626">
        <w:rPr>
          <w:rFonts w:ascii="Times New Roman" w:eastAsia="Times New Roman" w:hAnsi="Times New Roman" w:cs="Times New Roman"/>
          <w:color w:val="1F2527"/>
          <w:sz w:val="28"/>
          <w:szCs w:val="28"/>
          <w:lang w:eastAsia="ru-RU"/>
        </w:rPr>
        <w:t> (распоряжения) нанимателя о временном переводе </w:t>
      </w:r>
      <w:r w:rsidRPr="005F4626">
        <w:rPr>
          <w:rFonts w:ascii="Times New Roman" w:eastAsia="Times New Roman" w:hAnsi="Times New Roman" w:cs="Times New Roman"/>
          <w:b/>
          <w:bCs/>
          <w:color w:val="1F2527"/>
          <w:sz w:val="28"/>
          <w:szCs w:val="28"/>
          <w:lang w:eastAsia="ru-RU"/>
        </w:rPr>
        <w:t>с указанием</w:t>
      </w:r>
      <w:r w:rsidRPr="005F4626">
        <w:rPr>
          <w:rFonts w:ascii="Times New Roman" w:eastAsia="Times New Roman" w:hAnsi="Times New Roman" w:cs="Times New Roman"/>
          <w:color w:val="1F2527"/>
          <w:sz w:val="28"/>
          <w:szCs w:val="28"/>
          <w:lang w:eastAsia="ru-RU"/>
        </w:rPr>
        <w:t> причин и срока временного перевода, работы, на которую переводится работник, а также </w:t>
      </w:r>
      <w:r w:rsidRPr="005F4626">
        <w:rPr>
          <w:rFonts w:ascii="Times New Roman" w:eastAsia="Times New Roman" w:hAnsi="Times New Roman" w:cs="Times New Roman"/>
          <w:b/>
          <w:bCs/>
          <w:color w:val="1F2527"/>
          <w:sz w:val="28"/>
          <w:szCs w:val="28"/>
          <w:lang w:eastAsia="ru-RU"/>
        </w:rPr>
        <w:t>условий оплаты труда</w:t>
      </w:r>
      <w:r w:rsidRPr="005F4626">
        <w:rPr>
          <w:rFonts w:ascii="Times New Roman" w:eastAsia="Times New Roman" w:hAnsi="Times New Roman" w:cs="Times New Roman"/>
          <w:color w:val="1F2527"/>
          <w:sz w:val="28"/>
          <w:szCs w:val="28"/>
          <w:lang w:eastAsia="ru-RU"/>
        </w:rPr>
        <w:t>. С приказом (распоряжением) о временном переводе наниматель знакомит работника под роспись.</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Одновременно статьей 68 ТК установлено, что при временном переводе с письменного согласия работника и в связи с производственной необходимостью </w:t>
      </w:r>
      <w:r w:rsidRPr="005F4626">
        <w:rPr>
          <w:rFonts w:ascii="Times New Roman" w:eastAsia="Times New Roman" w:hAnsi="Times New Roman" w:cs="Times New Roman"/>
          <w:b/>
          <w:bCs/>
          <w:color w:val="1F2527"/>
          <w:sz w:val="28"/>
          <w:szCs w:val="28"/>
          <w:lang w:eastAsia="ru-RU"/>
        </w:rPr>
        <w:t>оплата труда</w:t>
      </w:r>
      <w:r w:rsidRPr="005F4626">
        <w:rPr>
          <w:rFonts w:ascii="Times New Roman" w:eastAsia="Times New Roman" w:hAnsi="Times New Roman" w:cs="Times New Roman"/>
          <w:color w:val="1F2527"/>
          <w:sz w:val="28"/>
          <w:szCs w:val="28"/>
          <w:lang w:eastAsia="ru-RU"/>
        </w:rPr>
        <w:t> производится </w:t>
      </w:r>
      <w:r w:rsidRPr="005F4626">
        <w:rPr>
          <w:rFonts w:ascii="Times New Roman" w:eastAsia="Times New Roman" w:hAnsi="Times New Roman" w:cs="Times New Roman"/>
          <w:b/>
          <w:bCs/>
          <w:color w:val="1F2527"/>
          <w:sz w:val="28"/>
          <w:szCs w:val="28"/>
          <w:lang w:eastAsia="ru-RU"/>
        </w:rPr>
        <w:t>по выполняемой работе</w:t>
      </w:r>
      <w:r w:rsidRPr="005F4626">
        <w:rPr>
          <w:rFonts w:ascii="Times New Roman" w:eastAsia="Times New Roman" w:hAnsi="Times New Roman" w:cs="Times New Roman"/>
          <w:color w:val="1F2527"/>
          <w:sz w:val="28"/>
          <w:szCs w:val="28"/>
          <w:lang w:eastAsia="ru-RU"/>
        </w:rPr>
        <w:t>, но не ниже среднего заработка по прежней работе.</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w:t>
      </w:r>
      <w:r w:rsidRPr="005F4626">
        <w:rPr>
          <w:rFonts w:ascii="Times New Roman" w:eastAsia="Times New Roman" w:hAnsi="Times New Roman" w:cs="Times New Roman"/>
          <w:b/>
          <w:bCs/>
          <w:color w:val="1F2527"/>
          <w:sz w:val="28"/>
          <w:szCs w:val="28"/>
          <w:lang w:eastAsia="ru-RU"/>
        </w:rPr>
        <w:t>в соответствии с ТК</w:t>
      </w:r>
      <w:r w:rsidRPr="005F4626">
        <w:rPr>
          <w:rFonts w:ascii="Times New Roman" w:eastAsia="Times New Roman" w:hAnsi="Times New Roman" w:cs="Times New Roman"/>
          <w:color w:val="1F2527"/>
          <w:sz w:val="28"/>
          <w:szCs w:val="28"/>
          <w:lang w:eastAsia="ru-RU"/>
        </w:rPr>
        <w:t>, иными нормативными правовыми актами, коллективным договором, соглашением, иными локальными правовыми актами и трудовым договором (статья 61 ТК).</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Таким образом, статьей 68 ТК определяется оплата труда при временном переводе с письменного согласия работника и в связи с производственной необходимостью у:</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одного нанимателя – по выполняемой работе в соответствии с условиями и размерами, предусмотренными коллективным договором, иным локальным правовым актом этого нанимателя, но не ниже среднего заработка по прежней работе;</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другого нанимателя – по выполняемой работе в соответствии с условиями и размерами, предусмотренными коллективным договором, иным локальным правовым актом другого нанимателя, но не ниже среднего заработка по прежней работе. При этом</w:t>
      </w:r>
      <w:proofErr w:type="gramStart"/>
      <w:r w:rsidRPr="005F4626">
        <w:rPr>
          <w:rFonts w:ascii="Times New Roman" w:eastAsia="Times New Roman" w:hAnsi="Times New Roman" w:cs="Times New Roman"/>
          <w:color w:val="1F2527"/>
          <w:sz w:val="28"/>
          <w:szCs w:val="28"/>
          <w:lang w:eastAsia="ru-RU"/>
        </w:rPr>
        <w:t>,</w:t>
      </w:r>
      <w:proofErr w:type="gramEnd"/>
      <w:r w:rsidRPr="005F4626">
        <w:rPr>
          <w:rFonts w:ascii="Times New Roman" w:eastAsia="Times New Roman" w:hAnsi="Times New Roman" w:cs="Times New Roman"/>
          <w:color w:val="1F2527"/>
          <w:sz w:val="28"/>
          <w:szCs w:val="28"/>
          <w:lang w:eastAsia="ru-RU"/>
        </w:rPr>
        <w:t xml:space="preserve"> в случае отсутствия в локальных правовых актах другого нанимателя оплаты труда по соответствующей должности </w:t>
      </w:r>
      <w:r w:rsidRPr="005F4626">
        <w:rPr>
          <w:rFonts w:ascii="Times New Roman" w:eastAsia="Times New Roman" w:hAnsi="Times New Roman" w:cs="Times New Roman"/>
          <w:color w:val="1F2527"/>
          <w:sz w:val="28"/>
          <w:szCs w:val="28"/>
          <w:lang w:eastAsia="ru-RU"/>
        </w:rPr>
        <w:lastRenderedPageBreak/>
        <w:t>служащего (профессии рабочего), данная оплата труда определяется с учетом обеспечения дифференциации размера оплаты труда в зависимости от сложности и напряженности труда, его условий, уровня квалификации работников, принятой у другого нанимателя (часть четвертая статьи 63 ТК).</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Исходя из вышеизложенного, в приказе (распоряжении) нанимателя о временном переводе следует определить оплату труда по выполняемой работе, включающую тарифную ставку (тарифный оклад), ее (его) повышения, в том числе за работу на условиях контракта (статья 261</w:t>
      </w:r>
      <w:r w:rsidRPr="005F4626">
        <w:rPr>
          <w:rFonts w:ascii="Times New Roman" w:eastAsia="Times New Roman" w:hAnsi="Times New Roman" w:cs="Times New Roman"/>
          <w:color w:val="1F2527"/>
          <w:sz w:val="28"/>
          <w:szCs w:val="28"/>
          <w:vertAlign w:val="superscript"/>
          <w:lang w:eastAsia="ru-RU"/>
        </w:rPr>
        <w:t>2 </w:t>
      </w:r>
      <w:r w:rsidRPr="005F4626">
        <w:rPr>
          <w:rFonts w:ascii="Times New Roman" w:eastAsia="Times New Roman" w:hAnsi="Times New Roman" w:cs="Times New Roman"/>
          <w:color w:val="1F2527"/>
          <w:sz w:val="28"/>
          <w:szCs w:val="28"/>
          <w:lang w:eastAsia="ru-RU"/>
        </w:rPr>
        <w:t>ТК), стимулирующие и компенсирующие выплаты, которые производятся по выполняемой работе.</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color w:val="1F2527"/>
          <w:sz w:val="28"/>
          <w:szCs w:val="28"/>
          <w:lang w:eastAsia="ru-RU"/>
        </w:rPr>
        <w:t>Вопрос. Как производится оплата труда работнику при временном переводе его на другую должность служащего?</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 </w:t>
      </w:r>
      <w:r w:rsidRPr="005F4626">
        <w:rPr>
          <w:rFonts w:ascii="Times New Roman" w:eastAsia="Times New Roman" w:hAnsi="Times New Roman" w:cs="Times New Roman"/>
          <w:color w:val="1F2527"/>
          <w:sz w:val="28"/>
          <w:szCs w:val="28"/>
          <w:lang w:eastAsia="ru-RU"/>
        </w:rPr>
        <w:t>Согласно статье 32</w:t>
      </w:r>
      <w:r w:rsidRPr="005F4626">
        <w:rPr>
          <w:rFonts w:ascii="Times New Roman" w:eastAsia="Times New Roman" w:hAnsi="Times New Roman" w:cs="Times New Roman"/>
          <w:color w:val="1F2527"/>
          <w:sz w:val="28"/>
          <w:szCs w:val="28"/>
          <w:vertAlign w:val="superscript"/>
          <w:lang w:eastAsia="ru-RU"/>
        </w:rPr>
        <w:t>1</w:t>
      </w:r>
      <w:r w:rsidRPr="005F4626">
        <w:rPr>
          <w:rFonts w:ascii="Times New Roman" w:eastAsia="Times New Roman" w:hAnsi="Times New Roman" w:cs="Times New Roman"/>
          <w:color w:val="1F2527"/>
          <w:sz w:val="28"/>
          <w:szCs w:val="28"/>
          <w:lang w:eastAsia="ru-RU"/>
        </w:rPr>
        <w:t>Трудового кодекса Республики Беларусь (далее – ТК) 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Одновременно частью первой статьи 68 ТК закреплено, что при временном переводе с письменного согласия работника и в связи с производственной необходимостью оплата труда производится по выполняемой работе, но </w:t>
      </w:r>
      <w:r w:rsidRPr="005F4626">
        <w:rPr>
          <w:rFonts w:ascii="Times New Roman" w:eastAsia="Times New Roman" w:hAnsi="Times New Roman" w:cs="Times New Roman"/>
          <w:b/>
          <w:bCs/>
          <w:color w:val="1F2527"/>
          <w:sz w:val="28"/>
          <w:szCs w:val="28"/>
          <w:lang w:eastAsia="ru-RU"/>
        </w:rPr>
        <w:t>не ниже среднего заработка по прежней работе</w:t>
      </w:r>
      <w:r w:rsidRPr="005F4626">
        <w:rPr>
          <w:rFonts w:ascii="Times New Roman" w:eastAsia="Times New Roman" w:hAnsi="Times New Roman" w:cs="Times New Roman"/>
          <w:color w:val="1F2527"/>
          <w:sz w:val="28"/>
          <w:szCs w:val="28"/>
          <w:lang w:eastAsia="ru-RU"/>
        </w:rPr>
        <w:t>.</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Таким образом, </w:t>
      </w:r>
      <w:r w:rsidRPr="005F4626">
        <w:rPr>
          <w:rFonts w:ascii="Times New Roman" w:eastAsia="Times New Roman" w:hAnsi="Times New Roman" w:cs="Times New Roman"/>
          <w:b/>
          <w:bCs/>
          <w:color w:val="1F2527"/>
          <w:sz w:val="28"/>
          <w:szCs w:val="28"/>
          <w:lang w:eastAsia="ru-RU"/>
        </w:rPr>
        <w:t>за все рабочие дни </w:t>
      </w:r>
      <w:r w:rsidRPr="005F4626">
        <w:rPr>
          <w:rFonts w:ascii="Times New Roman" w:eastAsia="Times New Roman" w:hAnsi="Times New Roman" w:cs="Times New Roman"/>
          <w:color w:val="1F2527"/>
          <w:sz w:val="28"/>
          <w:szCs w:val="28"/>
          <w:lang w:eastAsia="ru-RU"/>
        </w:rPr>
        <w:t>при временном переводе работника в соответствии с пунктами 1 и 2 части первой статьи 32</w:t>
      </w:r>
      <w:r w:rsidRPr="005F4626">
        <w:rPr>
          <w:rFonts w:ascii="Times New Roman" w:eastAsia="Times New Roman" w:hAnsi="Times New Roman" w:cs="Times New Roman"/>
          <w:color w:val="1F2527"/>
          <w:sz w:val="28"/>
          <w:szCs w:val="28"/>
          <w:vertAlign w:val="superscript"/>
          <w:lang w:eastAsia="ru-RU"/>
        </w:rPr>
        <w:t>1 </w:t>
      </w:r>
      <w:r w:rsidRPr="005F4626">
        <w:rPr>
          <w:rFonts w:ascii="Times New Roman" w:eastAsia="Times New Roman" w:hAnsi="Times New Roman" w:cs="Times New Roman"/>
          <w:color w:val="1F2527"/>
          <w:sz w:val="28"/>
          <w:szCs w:val="28"/>
          <w:lang w:eastAsia="ru-RU"/>
        </w:rPr>
        <w:t>ТК, работнику начисляется заработная плата по выполняемой работе с учетом условий оплаты труда, определенных в приказе нанимателя о временном переводе. В случае если начисленная работнику заработная плата за выполненную работу будет ниже среднего заработка по прежней работе, то работнику необходимо сохранить средний заработок за рабочее время в период временного перевода.</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r w:rsidRPr="005F4626">
        <w:rPr>
          <w:rFonts w:ascii="Times New Roman" w:eastAsia="Times New Roman" w:hAnsi="Times New Roman" w:cs="Times New Roman"/>
          <w:b/>
          <w:color w:val="1F2527"/>
          <w:sz w:val="28"/>
          <w:szCs w:val="28"/>
          <w:lang w:eastAsia="ru-RU"/>
        </w:rPr>
        <w:t>Вопрос. Как исчисляется средний заработок при временном переводе работника на другую должность служащего?</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 </w:t>
      </w:r>
      <w:r w:rsidRPr="005F4626">
        <w:rPr>
          <w:rFonts w:ascii="Times New Roman" w:eastAsia="Times New Roman" w:hAnsi="Times New Roman" w:cs="Times New Roman"/>
          <w:color w:val="1F2527"/>
          <w:sz w:val="28"/>
          <w:szCs w:val="28"/>
          <w:lang w:eastAsia="ru-RU"/>
        </w:rPr>
        <w:t>Порядок исчисления среднего заработка, сохраняемого при временном переводе работника и в других случаях, предусмотренных законодательством, определен в главах 3 и 4 Инструкции о порядке исчисления среднего заработка, утвержденной постановлением Министерства труда Республики Беларусь от 10 апреля 2000 г. № 47 (Инструкция).</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lastRenderedPageBreak/>
        <w:t>Согласно Инструкции для расчета среднего заработка принимается заработная плата, начисленная </w:t>
      </w:r>
      <w:r w:rsidRPr="005F4626">
        <w:rPr>
          <w:rFonts w:ascii="Times New Roman" w:eastAsia="Times New Roman" w:hAnsi="Times New Roman" w:cs="Times New Roman"/>
          <w:b/>
          <w:bCs/>
          <w:color w:val="1F2527"/>
          <w:sz w:val="28"/>
          <w:szCs w:val="28"/>
          <w:lang w:eastAsia="ru-RU"/>
        </w:rPr>
        <w:t>за два календарных месяца работы</w:t>
      </w:r>
      <w:r w:rsidRPr="005F4626">
        <w:rPr>
          <w:rFonts w:ascii="Times New Roman" w:eastAsia="Times New Roman" w:hAnsi="Times New Roman" w:cs="Times New Roman"/>
          <w:color w:val="1F2527"/>
          <w:sz w:val="28"/>
          <w:szCs w:val="28"/>
          <w:lang w:eastAsia="ru-RU"/>
        </w:rPr>
        <w:t> (с 1-го до 1-го числа), </w:t>
      </w:r>
      <w:r w:rsidRPr="005F4626">
        <w:rPr>
          <w:rFonts w:ascii="Times New Roman" w:eastAsia="Times New Roman" w:hAnsi="Times New Roman" w:cs="Times New Roman"/>
          <w:b/>
          <w:bCs/>
          <w:color w:val="1F2527"/>
          <w:sz w:val="28"/>
          <w:szCs w:val="28"/>
          <w:lang w:eastAsia="ru-RU"/>
        </w:rPr>
        <w:t>предшествующих </w:t>
      </w:r>
      <w:r w:rsidRPr="005F4626">
        <w:rPr>
          <w:rFonts w:ascii="Times New Roman" w:eastAsia="Times New Roman" w:hAnsi="Times New Roman" w:cs="Times New Roman"/>
          <w:color w:val="1F2527"/>
          <w:sz w:val="28"/>
          <w:szCs w:val="28"/>
          <w:lang w:eastAsia="ru-RU"/>
        </w:rPr>
        <w:t>месяцу временного перевода.</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При этом общая сумма среднего заработка определяется путем умножения среднедневного (среднечасового) заработка на количество рабочих дней (часов) подлежащих оплате.</w:t>
      </w:r>
    </w:p>
    <w:p w:rsidR="005F4626" w:rsidRPr="005F4626" w:rsidRDefault="005F4626" w:rsidP="005F4626">
      <w:pPr>
        <w:shd w:val="clear" w:color="auto" w:fill="FFFFFF"/>
        <w:spacing w:after="0" w:line="240" w:lineRule="auto"/>
        <w:jc w:val="both"/>
        <w:rPr>
          <w:rFonts w:ascii="Times New Roman" w:eastAsia="Times New Roman" w:hAnsi="Times New Roman" w:cs="Times New Roman"/>
          <w:b/>
          <w:color w:val="1F2527"/>
          <w:sz w:val="28"/>
          <w:szCs w:val="28"/>
          <w:lang w:eastAsia="ru-RU"/>
        </w:rPr>
      </w:pPr>
      <w:bookmarkStart w:id="0" w:name="_GoBack"/>
      <w:r w:rsidRPr="005F4626">
        <w:rPr>
          <w:rFonts w:ascii="Times New Roman" w:eastAsia="Times New Roman" w:hAnsi="Times New Roman" w:cs="Times New Roman"/>
          <w:b/>
          <w:color w:val="1F2527"/>
          <w:sz w:val="28"/>
          <w:szCs w:val="28"/>
          <w:lang w:eastAsia="ru-RU"/>
        </w:rPr>
        <w:t>Вопрос. Можно ли при разъездном характере работы взамен компенсации за разъездной характер работы установить надбавку за такой характер работы?</w:t>
      </w:r>
    </w:p>
    <w:bookmarkEnd w:id="0"/>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 </w:t>
      </w:r>
    </w:p>
    <w:p w:rsidR="005F4626" w:rsidRPr="005F4626" w:rsidRDefault="005F4626" w:rsidP="005F4626">
      <w:pPr>
        <w:shd w:val="clear" w:color="auto" w:fill="FFFFFF"/>
        <w:spacing w:after="0"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b/>
          <w:bCs/>
          <w:color w:val="1F2527"/>
          <w:sz w:val="28"/>
          <w:szCs w:val="28"/>
          <w:lang w:eastAsia="ru-RU"/>
        </w:rPr>
        <w:t>Ответ. </w:t>
      </w:r>
      <w:r w:rsidRPr="005F4626">
        <w:rPr>
          <w:rFonts w:ascii="Times New Roman" w:eastAsia="Times New Roman" w:hAnsi="Times New Roman" w:cs="Times New Roman"/>
          <w:color w:val="1F2527"/>
          <w:sz w:val="28"/>
          <w:szCs w:val="28"/>
          <w:lang w:eastAsia="ru-RU"/>
        </w:rPr>
        <w:t>Нет, нельзя.</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Трудовым Кодексом Республики Беларусь (далее – ТК), иными нормативными правовыми актами, коллективным договором, соглашением, иными локальными правовыми актами и трудовым договором (статья 61 ТК).</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На основании положений статей 57, 61 и 63 ТК надбавка является стимулирующей выплатой заработной платы, которая выплачивается с учетом фактически отработанного времени.</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Компенсации – денежные выплаты, установленные с целью возмещения работникам затрат, связанных с выполнением ими трудовых обязанностей (статья 90 ТК).</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proofErr w:type="gramStart"/>
      <w:r w:rsidRPr="005F4626">
        <w:rPr>
          <w:rFonts w:ascii="Times New Roman" w:eastAsia="Times New Roman" w:hAnsi="Times New Roman" w:cs="Times New Roman"/>
          <w:color w:val="1F2527"/>
          <w:sz w:val="28"/>
          <w:szCs w:val="28"/>
          <w:lang w:eastAsia="ru-RU"/>
        </w:rPr>
        <w:t>В соответствии со статьей 99 ТК наниматель может устанавливать работникам компенсации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порядок, условия и размеры которых определены в Инструкции, утвержденной постановлением Министерства труда и социальной защиты Республики Беларусь от 25 июля 2014 г. № 70.</w:t>
      </w:r>
      <w:proofErr w:type="gramEnd"/>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Компенсация за разъездной характер работы устанавливается взамен выплаты суточных при направлении их в служебную командировку.</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Следовательно, работникам, которым установлен разъездной характер работы, установить надбавку за разъездной характер труда вместо компенсации оснований не имеется.</w:t>
      </w:r>
    </w:p>
    <w:p w:rsidR="005F4626" w:rsidRPr="005F4626" w:rsidRDefault="005F4626" w:rsidP="005F4626">
      <w:pPr>
        <w:shd w:val="clear" w:color="auto" w:fill="FFFFFF"/>
        <w:spacing w:after="100" w:afterAutospacing="1" w:line="240" w:lineRule="auto"/>
        <w:jc w:val="both"/>
        <w:rPr>
          <w:rFonts w:ascii="Times New Roman" w:eastAsia="Times New Roman" w:hAnsi="Times New Roman" w:cs="Times New Roman"/>
          <w:color w:val="1F2527"/>
          <w:sz w:val="28"/>
          <w:szCs w:val="28"/>
          <w:lang w:eastAsia="ru-RU"/>
        </w:rPr>
      </w:pPr>
      <w:r w:rsidRPr="005F4626">
        <w:rPr>
          <w:rFonts w:ascii="Times New Roman" w:eastAsia="Times New Roman" w:hAnsi="Times New Roman" w:cs="Times New Roman"/>
          <w:color w:val="1F2527"/>
          <w:sz w:val="28"/>
          <w:szCs w:val="28"/>
          <w:lang w:eastAsia="ru-RU"/>
        </w:rPr>
        <w:t> </w:t>
      </w:r>
    </w:p>
    <w:p w:rsidR="00C34641" w:rsidRDefault="00C34641"/>
    <w:sectPr w:rsidR="00C34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68"/>
    <w:rsid w:val="00004900"/>
    <w:rsid w:val="00004A59"/>
    <w:rsid w:val="00014CD5"/>
    <w:rsid w:val="000247F7"/>
    <w:rsid w:val="000250DD"/>
    <w:rsid w:val="00025183"/>
    <w:rsid w:val="000251E7"/>
    <w:rsid w:val="000279FC"/>
    <w:rsid w:val="00031CF9"/>
    <w:rsid w:val="000356AE"/>
    <w:rsid w:val="00040689"/>
    <w:rsid w:val="0004655C"/>
    <w:rsid w:val="000476AB"/>
    <w:rsid w:val="000540ED"/>
    <w:rsid w:val="000565FB"/>
    <w:rsid w:val="0005792A"/>
    <w:rsid w:val="000736F5"/>
    <w:rsid w:val="000755D8"/>
    <w:rsid w:val="00076FC4"/>
    <w:rsid w:val="00085396"/>
    <w:rsid w:val="000909D7"/>
    <w:rsid w:val="00090B34"/>
    <w:rsid w:val="00090CAF"/>
    <w:rsid w:val="000913DB"/>
    <w:rsid w:val="00091436"/>
    <w:rsid w:val="00095464"/>
    <w:rsid w:val="0009756C"/>
    <w:rsid w:val="000A214B"/>
    <w:rsid w:val="000A54C1"/>
    <w:rsid w:val="000A5DC0"/>
    <w:rsid w:val="000A738D"/>
    <w:rsid w:val="000A7B03"/>
    <w:rsid w:val="000B0814"/>
    <w:rsid w:val="000B1E09"/>
    <w:rsid w:val="000B4CF5"/>
    <w:rsid w:val="000C6D99"/>
    <w:rsid w:val="000D7DB8"/>
    <w:rsid w:val="000E0027"/>
    <w:rsid w:val="000E2349"/>
    <w:rsid w:val="000E2DA2"/>
    <w:rsid w:val="000E36B8"/>
    <w:rsid w:val="000E6B9D"/>
    <w:rsid w:val="000E6E29"/>
    <w:rsid w:val="000E7752"/>
    <w:rsid w:val="000F3716"/>
    <w:rsid w:val="000F3B48"/>
    <w:rsid w:val="000F431C"/>
    <w:rsid w:val="000F71B4"/>
    <w:rsid w:val="000F73F9"/>
    <w:rsid w:val="0010116D"/>
    <w:rsid w:val="00101CF6"/>
    <w:rsid w:val="00111A2A"/>
    <w:rsid w:val="00111DAB"/>
    <w:rsid w:val="00112941"/>
    <w:rsid w:val="001162C6"/>
    <w:rsid w:val="00117E28"/>
    <w:rsid w:val="001222D7"/>
    <w:rsid w:val="001253D9"/>
    <w:rsid w:val="00127082"/>
    <w:rsid w:val="00140907"/>
    <w:rsid w:val="00142D1D"/>
    <w:rsid w:val="001434DD"/>
    <w:rsid w:val="00147724"/>
    <w:rsid w:val="00153166"/>
    <w:rsid w:val="00155D31"/>
    <w:rsid w:val="001606FD"/>
    <w:rsid w:val="0016078C"/>
    <w:rsid w:val="00162EED"/>
    <w:rsid w:val="00164AF9"/>
    <w:rsid w:val="0017068E"/>
    <w:rsid w:val="001744D3"/>
    <w:rsid w:val="0017630B"/>
    <w:rsid w:val="00176882"/>
    <w:rsid w:val="00176E0B"/>
    <w:rsid w:val="00176EFC"/>
    <w:rsid w:val="00180036"/>
    <w:rsid w:val="00181C6E"/>
    <w:rsid w:val="001863D6"/>
    <w:rsid w:val="001866BC"/>
    <w:rsid w:val="00187295"/>
    <w:rsid w:val="0019371F"/>
    <w:rsid w:val="00193AD0"/>
    <w:rsid w:val="00195D8A"/>
    <w:rsid w:val="001A0747"/>
    <w:rsid w:val="001A15D3"/>
    <w:rsid w:val="001A1724"/>
    <w:rsid w:val="001A1843"/>
    <w:rsid w:val="001A35FB"/>
    <w:rsid w:val="001A3D7A"/>
    <w:rsid w:val="001A4EEB"/>
    <w:rsid w:val="001A7663"/>
    <w:rsid w:val="001B4A15"/>
    <w:rsid w:val="001B54B8"/>
    <w:rsid w:val="001B6938"/>
    <w:rsid w:val="001C187B"/>
    <w:rsid w:val="001D1CC9"/>
    <w:rsid w:val="001D6010"/>
    <w:rsid w:val="001E544A"/>
    <w:rsid w:val="001E5A0A"/>
    <w:rsid w:val="001E6961"/>
    <w:rsid w:val="001E7251"/>
    <w:rsid w:val="001E795E"/>
    <w:rsid w:val="001F4046"/>
    <w:rsid w:val="001F4D0E"/>
    <w:rsid w:val="001F74AB"/>
    <w:rsid w:val="001F7F1B"/>
    <w:rsid w:val="0020295A"/>
    <w:rsid w:val="00203B31"/>
    <w:rsid w:val="00203CEB"/>
    <w:rsid w:val="00210852"/>
    <w:rsid w:val="002113CE"/>
    <w:rsid w:val="00215A19"/>
    <w:rsid w:val="0021649D"/>
    <w:rsid w:val="00216923"/>
    <w:rsid w:val="00217717"/>
    <w:rsid w:val="0022725B"/>
    <w:rsid w:val="00227C4B"/>
    <w:rsid w:val="00230E61"/>
    <w:rsid w:val="00230F87"/>
    <w:rsid w:val="0023100C"/>
    <w:rsid w:val="00231FC5"/>
    <w:rsid w:val="00233FB9"/>
    <w:rsid w:val="00242314"/>
    <w:rsid w:val="00243E19"/>
    <w:rsid w:val="00246E6D"/>
    <w:rsid w:val="00250417"/>
    <w:rsid w:val="00254738"/>
    <w:rsid w:val="0026560B"/>
    <w:rsid w:val="00266DD3"/>
    <w:rsid w:val="00270A53"/>
    <w:rsid w:val="0027179C"/>
    <w:rsid w:val="00273544"/>
    <w:rsid w:val="00273C14"/>
    <w:rsid w:val="00274473"/>
    <w:rsid w:val="002807F0"/>
    <w:rsid w:val="0029176A"/>
    <w:rsid w:val="00296F89"/>
    <w:rsid w:val="002A4294"/>
    <w:rsid w:val="002A55E5"/>
    <w:rsid w:val="002A5A62"/>
    <w:rsid w:val="002A6A2F"/>
    <w:rsid w:val="002A6BFA"/>
    <w:rsid w:val="002B009C"/>
    <w:rsid w:val="002B1A21"/>
    <w:rsid w:val="002B3518"/>
    <w:rsid w:val="002B6849"/>
    <w:rsid w:val="002C4C7E"/>
    <w:rsid w:val="002C7AAF"/>
    <w:rsid w:val="002D14A5"/>
    <w:rsid w:val="002E091F"/>
    <w:rsid w:val="002E3934"/>
    <w:rsid w:val="002E3CD2"/>
    <w:rsid w:val="002E4517"/>
    <w:rsid w:val="002F0AD7"/>
    <w:rsid w:val="002F7438"/>
    <w:rsid w:val="00306D3D"/>
    <w:rsid w:val="0030784C"/>
    <w:rsid w:val="0031064F"/>
    <w:rsid w:val="00310E1B"/>
    <w:rsid w:val="00310F5D"/>
    <w:rsid w:val="00312339"/>
    <w:rsid w:val="00317F4D"/>
    <w:rsid w:val="00320114"/>
    <w:rsid w:val="003209DF"/>
    <w:rsid w:val="003246F6"/>
    <w:rsid w:val="003314BD"/>
    <w:rsid w:val="00332244"/>
    <w:rsid w:val="00344556"/>
    <w:rsid w:val="00345BB8"/>
    <w:rsid w:val="0034766E"/>
    <w:rsid w:val="00350C31"/>
    <w:rsid w:val="00351C6E"/>
    <w:rsid w:val="00353018"/>
    <w:rsid w:val="0036099C"/>
    <w:rsid w:val="00361803"/>
    <w:rsid w:val="00365723"/>
    <w:rsid w:val="00371390"/>
    <w:rsid w:val="00393CFD"/>
    <w:rsid w:val="0039512F"/>
    <w:rsid w:val="003A3636"/>
    <w:rsid w:val="003A44F2"/>
    <w:rsid w:val="003B45BD"/>
    <w:rsid w:val="003B6E1B"/>
    <w:rsid w:val="003B705C"/>
    <w:rsid w:val="003C4C82"/>
    <w:rsid w:val="003C6140"/>
    <w:rsid w:val="003E243A"/>
    <w:rsid w:val="003E5078"/>
    <w:rsid w:val="003E6475"/>
    <w:rsid w:val="003E79B8"/>
    <w:rsid w:val="003F0E07"/>
    <w:rsid w:val="003F1591"/>
    <w:rsid w:val="003F296C"/>
    <w:rsid w:val="003F6981"/>
    <w:rsid w:val="0040523D"/>
    <w:rsid w:val="00405C49"/>
    <w:rsid w:val="0040626B"/>
    <w:rsid w:val="00412A97"/>
    <w:rsid w:val="004136C0"/>
    <w:rsid w:val="004158C2"/>
    <w:rsid w:val="00417CD8"/>
    <w:rsid w:val="00421423"/>
    <w:rsid w:val="0042158F"/>
    <w:rsid w:val="00422160"/>
    <w:rsid w:val="00423922"/>
    <w:rsid w:val="00424A79"/>
    <w:rsid w:val="0043319E"/>
    <w:rsid w:val="004448AF"/>
    <w:rsid w:val="004453B9"/>
    <w:rsid w:val="00451757"/>
    <w:rsid w:val="00452EE9"/>
    <w:rsid w:val="0045609B"/>
    <w:rsid w:val="00456CD3"/>
    <w:rsid w:val="0046563F"/>
    <w:rsid w:val="00466404"/>
    <w:rsid w:val="00467FC7"/>
    <w:rsid w:val="00472A3B"/>
    <w:rsid w:val="00476048"/>
    <w:rsid w:val="004802AF"/>
    <w:rsid w:val="00480F5D"/>
    <w:rsid w:val="00486671"/>
    <w:rsid w:val="00492242"/>
    <w:rsid w:val="00495F9D"/>
    <w:rsid w:val="004A2E0F"/>
    <w:rsid w:val="004A545C"/>
    <w:rsid w:val="004B29C4"/>
    <w:rsid w:val="004B435B"/>
    <w:rsid w:val="004B7433"/>
    <w:rsid w:val="004C0F4D"/>
    <w:rsid w:val="004C4D03"/>
    <w:rsid w:val="004C774F"/>
    <w:rsid w:val="004D2104"/>
    <w:rsid w:val="004D4A64"/>
    <w:rsid w:val="004D54A6"/>
    <w:rsid w:val="004E1FBE"/>
    <w:rsid w:val="004F0609"/>
    <w:rsid w:val="004F50FB"/>
    <w:rsid w:val="004F547A"/>
    <w:rsid w:val="00503076"/>
    <w:rsid w:val="00503BB8"/>
    <w:rsid w:val="00512443"/>
    <w:rsid w:val="00514C1B"/>
    <w:rsid w:val="00533E0C"/>
    <w:rsid w:val="005450CF"/>
    <w:rsid w:val="00552647"/>
    <w:rsid w:val="00561C41"/>
    <w:rsid w:val="00561CBA"/>
    <w:rsid w:val="005629A1"/>
    <w:rsid w:val="00563A62"/>
    <w:rsid w:val="00571C29"/>
    <w:rsid w:val="00572166"/>
    <w:rsid w:val="005722F6"/>
    <w:rsid w:val="0057750E"/>
    <w:rsid w:val="00583298"/>
    <w:rsid w:val="00584C28"/>
    <w:rsid w:val="00585F7A"/>
    <w:rsid w:val="00587126"/>
    <w:rsid w:val="00587335"/>
    <w:rsid w:val="00592DF1"/>
    <w:rsid w:val="005943B3"/>
    <w:rsid w:val="00594898"/>
    <w:rsid w:val="0059707F"/>
    <w:rsid w:val="005A34CB"/>
    <w:rsid w:val="005B02DE"/>
    <w:rsid w:val="005B058A"/>
    <w:rsid w:val="005B1C1D"/>
    <w:rsid w:val="005B571F"/>
    <w:rsid w:val="005C1EC5"/>
    <w:rsid w:val="005C2263"/>
    <w:rsid w:val="005C5B98"/>
    <w:rsid w:val="005D2A40"/>
    <w:rsid w:val="005D6F38"/>
    <w:rsid w:val="005E2742"/>
    <w:rsid w:val="005E3068"/>
    <w:rsid w:val="005E4F5B"/>
    <w:rsid w:val="005F1DAB"/>
    <w:rsid w:val="005F30F7"/>
    <w:rsid w:val="005F4626"/>
    <w:rsid w:val="005F5F00"/>
    <w:rsid w:val="005F7A29"/>
    <w:rsid w:val="00606077"/>
    <w:rsid w:val="00610165"/>
    <w:rsid w:val="00626074"/>
    <w:rsid w:val="0062759F"/>
    <w:rsid w:val="00631D3D"/>
    <w:rsid w:val="00632D76"/>
    <w:rsid w:val="00634DF8"/>
    <w:rsid w:val="00641784"/>
    <w:rsid w:val="0064609E"/>
    <w:rsid w:val="0064688C"/>
    <w:rsid w:val="00655900"/>
    <w:rsid w:val="006568CB"/>
    <w:rsid w:val="0066043C"/>
    <w:rsid w:val="00661C47"/>
    <w:rsid w:val="00666981"/>
    <w:rsid w:val="006729D5"/>
    <w:rsid w:val="0067427B"/>
    <w:rsid w:val="00681B50"/>
    <w:rsid w:val="0069550F"/>
    <w:rsid w:val="00697156"/>
    <w:rsid w:val="006A3FD3"/>
    <w:rsid w:val="006A60E9"/>
    <w:rsid w:val="006B3D51"/>
    <w:rsid w:val="006C087F"/>
    <w:rsid w:val="006C5B7E"/>
    <w:rsid w:val="006D74A3"/>
    <w:rsid w:val="006D7A65"/>
    <w:rsid w:val="006E3E38"/>
    <w:rsid w:val="006E6945"/>
    <w:rsid w:val="006F07B0"/>
    <w:rsid w:val="006F639E"/>
    <w:rsid w:val="006F6406"/>
    <w:rsid w:val="006F732F"/>
    <w:rsid w:val="00700D0E"/>
    <w:rsid w:val="0070221A"/>
    <w:rsid w:val="00702AE8"/>
    <w:rsid w:val="007052BC"/>
    <w:rsid w:val="00711481"/>
    <w:rsid w:val="007126DB"/>
    <w:rsid w:val="0071629F"/>
    <w:rsid w:val="00722A66"/>
    <w:rsid w:val="007309E1"/>
    <w:rsid w:val="00732DA5"/>
    <w:rsid w:val="00735E3A"/>
    <w:rsid w:val="0073659B"/>
    <w:rsid w:val="00741BA3"/>
    <w:rsid w:val="00743571"/>
    <w:rsid w:val="0075116E"/>
    <w:rsid w:val="00757021"/>
    <w:rsid w:val="00763149"/>
    <w:rsid w:val="00765584"/>
    <w:rsid w:val="007745E8"/>
    <w:rsid w:val="007749AF"/>
    <w:rsid w:val="00774E82"/>
    <w:rsid w:val="007750AF"/>
    <w:rsid w:val="0078346F"/>
    <w:rsid w:val="00790EE5"/>
    <w:rsid w:val="00792D20"/>
    <w:rsid w:val="00797E4F"/>
    <w:rsid w:val="007A0714"/>
    <w:rsid w:val="007A0E1C"/>
    <w:rsid w:val="007A4BC3"/>
    <w:rsid w:val="007A71DF"/>
    <w:rsid w:val="007B3DE2"/>
    <w:rsid w:val="007B4DB9"/>
    <w:rsid w:val="007C164B"/>
    <w:rsid w:val="007C26F4"/>
    <w:rsid w:val="007D19BD"/>
    <w:rsid w:val="007D3B08"/>
    <w:rsid w:val="007D4387"/>
    <w:rsid w:val="007D7628"/>
    <w:rsid w:val="007E507D"/>
    <w:rsid w:val="00801B5B"/>
    <w:rsid w:val="00802A5A"/>
    <w:rsid w:val="00804311"/>
    <w:rsid w:val="00806332"/>
    <w:rsid w:val="008068F9"/>
    <w:rsid w:val="00807A97"/>
    <w:rsid w:val="008121C1"/>
    <w:rsid w:val="00820A98"/>
    <w:rsid w:val="00826A08"/>
    <w:rsid w:val="00832F67"/>
    <w:rsid w:val="0083450A"/>
    <w:rsid w:val="00836F66"/>
    <w:rsid w:val="008405EF"/>
    <w:rsid w:val="00844187"/>
    <w:rsid w:val="00844C4E"/>
    <w:rsid w:val="00845035"/>
    <w:rsid w:val="0084506E"/>
    <w:rsid w:val="00845E9D"/>
    <w:rsid w:val="00850CFC"/>
    <w:rsid w:val="008515EB"/>
    <w:rsid w:val="008516E0"/>
    <w:rsid w:val="008535BE"/>
    <w:rsid w:val="00854E35"/>
    <w:rsid w:val="00856678"/>
    <w:rsid w:val="0086285D"/>
    <w:rsid w:val="00862F05"/>
    <w:rsid w:val="00864854"/>
    <w:rsid w:val="008668C9"/>
    <w:rsid w:val="00867980"/>
    <w:rsid w:val="00870F14"/>
    <w:rsid w:val="00871CDE"/>
    <w:rsid w:val="0088228C"/>
    <w:rsid w:val="00886A34"/>
    <w:rsid w:val="00887E49"/>
    <w:rsid w:val="008957D2"/>
    <w:rsid w:val="00897DED"/>
    <w:rsid w:val="008A4BFD"/>
    <w:rsid w:val="008A70AC"/>
    <w:rsid w:val="008A749D"/>
    <w:rsid w:val="008B19DE"/>
    <w:rsid w:val="008B3B5D"/>
    <w:rsid w:val="008B584F"/>
    <w:rsid w:val="008B763C"/>
    <w:rsid w:val="008C2FEB"/>
    <w:rsid w:val="008C4CED"/>
    <w:rsid w:val="008D3C76"/>
    <w:rsid w:val="008E053C"/>
    <w:rsid w:val="008E05C0"/>
    <w:rsid w:val="008E0BC8"/>
    <w:rsid w:val="008E1AA1"/>
    <w:rsid w:val="008E78BE"/>
    <w:rsid w:val="008F3F73"/>
    <w:rsid w:val="008F423E"/>
    <w:rsid w:val="008F4CBE"/>
    <w:rsid w:val="00902A27"/>
    <w:rsid w:val="0090593B"/>
    <w:rsid w:val="0090639F"/>
    <w:rsid w:val="00911229"/>
    <w:rsid w:val="00911D4F"/>
    <w:rsid w:val="009128A4"/>
    <w:rsid w:val="00917C7C"/>
    <w:rsid w:val="009218B8"/>
    <w:rsid w:val="00923C38"/>
    <w:rsid w:val="009264AE"/>
    <w:rsid w:val="0093067D"/>
    <w:rsid w:val="00933F7C"/>
    <w:rsid w:val="009344B5"/>
    <w:rsid w:val="009371FB"/>
    <w:rsid w:val="00937F0D"/>
    <w:rsid w:val="009410C5"/>
    <w:rsid w:val="0094257D"/>
    <w:rsid w:val="00947E0C"/>
    <w:rsid w:val="00960066"/>
    <w:rsid w:val="00963C79"/>
    <w:rsid w:val="009653E4"/>
    <w:rsid w:val="00970CD1"/>
    <w:rsid w:val="00973B2F"/>
    <w:rsid w:val="00977135"/>
    <w:rsid w:val="00982445"/>
    <w:rsid w:val="009842D7"/>
    <w:rsid w:val="00986A60"/>
    <w:rsid w:val="00986CB5"/>
    <w:rsid w:val="009873B0"/>
    <w:rsid w:val="009A450A"/>
    <w:rsid w:val="009A5973"/>
    <w:rsid w:val="009B4C98"/>
    <w:rsid w:val="009B5E11"/>
    <w:rsid w:val="009C2C13"/>
    <w:rsid w:val="009C5A60"/>
    <w:rsid w:val="009C7A69"/>
    <w:rsid w:val="009D18DE"/>
    <w:rsid w:val="009D67A8"/>
    <w:rsid w:val="009E1A45"/>
    <w:rsid w:val="009F1070"/>
    <w:rsid w:val="00A0139D"/>
    <w:rsid w:val="00A0215F"/>
    <w:rsid w:val="00A033DA"/>
    <w:rsid w:val="00A10136"/>
    <w:rsid w:val="00A10261"/>
    <w:rsid w:val="00A146BE"/>
    <w:rsid w:val="00A15FE9"/>
    <w:rsid w:val="00A166A7"/>
    <w:rsid w:val="00A16A3C"/>
    <w:rsid w:val="00A2521A"/>
    <w:rsid w:val="00A315C0"/>
    <w:rsid w:val="00A339D9"/>
    <w:rsid w:val="00A352AB"/>
    <w:rsid w:val="00A40E0D"/>
    <w:rsid w:val="00A43B1F"/>
    <w:rsid w:val="00A45B32"/>
    <w:rsid w:val="00A5298C"/>
    <w:rsid w:val="00A621D5"/>
    <w:rsid w:val="00A62ACE"/>
    <w:rsid w:val="00A63191"/>
    <w:rsid w:val="00A66505"/>
    <w:rsid w:val="00A67A26"/>
    <w:rsid w:val="00A7038E"/>
    <w:rsid w:val="00A71FC0"/>
    <w:rsid w:val="00A744D4"/>
    <w:rsid w:val="00A75610"/>
    <w:rsid w:val="00A801E8"/>
    <w:rsid w:val="00A8408D"/>
    <w:rsid w:val="00A87568"/>
    <w:rsid w:val="00A87EC6"/>
    <w:rsid w:val="00A916A9"/>
    <w:rsid w:val="00A96048"/>
    <w:rsid w:val="00AA0D5E"/>
    <w:rsid w:val="00AA3242"/>
    <w:rsid w:val="00AB0297"/>
    <w:rsid w:val="00AB240E"/>
    <w:rsid w:val="00AB3974"/>
    <w:rsid w:val="00AB39F8"/>
    <w:rsid w:val="00AB3D68"/>
    <w:rsid w:val="00AB3D6C"/>
    <w:rsid w:val="00AC200C"/>
    <w:rsid w:val="00AC367C"/>
    <w:rsid w:val="00AD2C16"/>
    <w:rsid w:val="00AD53F5"/>
    <w:rsid w:val="00AE1924"/>
    <w:rsid w:val="00AE4BFD"/>
    <w:rsid w:val="00AE6546"/>
    <w:rsid w:val="00AF0408"/>
    <w:rsid w:val="00AF043A"/>
    <w:rsid w:val="00AF1265"/>
    <w:rsid w:val="00AF563B"/>
    <w:rsid w:val="00AF5FE3"/>
    <w:rsid w:val="00AF77EC"/>
    <w:rsid w:val="00AF787D"/>
    <w:rsid w:val="00B00E1E"/>
    <w:rsid w:val="00B03F7A"/>
    <w:rsid w:val="00B16EDB"/>
    <w:rsid w:val="00B17F0C"/>
    <w:rsid w:val="00B217A1"/>
    <w:rsid w:val="00B24AA1"/>
    <w:rsid w:val="00B252CA"/>
    <w:rsid w:val="00B307C8"/>
    <w:rsid w:val="00B32F98"/>
    <w:rsid w:val="00B33318"/>
    <w:rsid w:val="00B37029"/>
    <w:rsid w:val="00B47901"/>
    <w:rsid w:val="00B50047"/>
    <w:rsid w:val="00B51B07"/>
    <w:rsid w:val="00B52FF3"/>
    <w:rsid w:val="00B53BC0"/>
    <w:rsid w:val="00B55793"/>
    <w:rsid w:val="00B56CEC"/>
    <w:rsid w:val="00B57549"/>
    <w:rsid w:val="00B612FC"/>
    <w:rsid w:val="00B6432E"/>
    <w:rsid w:val="00B661FF"/>
    <w:rsid w:val="00B67E02"/>
    <w:rsid w:val="00B703EF"/>
    <w:rsid w:val="00B71B77"/>
    <w:rsid w:val="00B74E22"/>
    <w:rsid w:val="00B750A3"/>
    <w:rsid w:val="00B76FB2"/>
    <w:rsid w:val="00B77229"/>
    <w:rsid w:val="00B82610"/>
    <w:rsid w:val="00B84909"/>
    <w:rsid w:val="00B86739"/>
    <w:rsid w:val="00B94EFC"/>
    <w:rsid w:val="00BA034C"/>
    <w:rsid w:val="00BA421D"/>
    <w:rsid w:val="00BA6D6F"/>
    <w:rsid w:val="00BA7E1C"/>
    <w:rsid w:val="00BB2A06"/>
    <w:rsid w:val="00BC12D3"/>
    <w:rsid w:val="00BC6D61"/>
    <w:rsid w:val="00BC7E6B"/>
    <w:rsid w:val="00BD20CD"/>
    <w:rsid w:val="00BD7EAE"/>
    <w:rsid w:val="00BE1A5A"/>
    <w:rsid w:val="00BE56E5"/>
    <w:rsid w:val="00BE5D8E"/>
    <w:rsid w:val="00BF018E"/>
    <w:rsid w:val="00BF088A"/>
    <w:rsid w:val="00C01277"/>
    <w:rsid w:val="00C0747A"/>
    <w:rsid w:val="00C0766C"/>
    <w:rsid w:val="00C10DAE"/>
    <w:rsid w:val="00C14A48"/>
    <w:rsid w:val="00C15B38"/>
    <w:rsid w:val="00C1602A"/>
    <w:rsid w:val="00C2219C"/>
    <w:rsid w:val="00C221A5"/>
    <w:rsid w:val="00C22685"/>
    <w:rsid w:val="00C2702A"/>
    <w:rsid w:val="00C34641"/>
    <w:rsid w:val="00C42210"/>
    <w:rsid w:val="00C4352E"/>
    <w:rsid w:val="00C449BA"/>
    <w:rsid w:val="00C454A7"/>
    <w:rsid w:val="00C50D98"/>
    <w:rsid w:val="00C5694D"/>
    <w:rsid w:val="00C60AE5"/>
    <w:rsid w:val="00C60E75"/>
    <w:rsid w:val="00C70ABF"/>
    <w:rsid w:val="00C7349B"/>
    <w:rsid w:val="00C7587A"/>
    <w:rsid w:val="00C8026C"/>
    <w:rsid w:val="00C83B1B"/>
    <w:rsid w:val="00C85395"/>
    <w:rsid w:val="00C92A31"/>
    <w:rsid w:val="00C943A4"/>
    <w:rsid w:val="00CA1ABE"/>
    <w:rsid w:val="00CA2E30"/>
    <w:rsid w:val="00CB00F6"/>
    <w:rsid w:val="00CB5235"/>
    <w:rsid w:val="00CB6B56"/>
    <w:rsid w:val="00CC0CC3"/>
    <w:rsid w:val="00CC3539"/>
    <w:rsid w:val="00CC42C8"/>
    <w:rsid w:val="00CC48FE"/>
    <w:rsid w:val="00CC5C0E"/>
    <w:rsid w:val="00CD0A7A"/>
    <w:rsid w:val="00CD4D41"/>
    <w:rsid w:val="00CD6AFF"/>
    <w:rsid w:val="00CE3932"/>
    <w:rsid w:val="00CE3D50"/>
    <w:rsid w:val="00CE53CA"/>
    <w:rsid w:val="00CF0C45"/>
    <w:rsid w:val="00CF1474"/>
    <w:rsid w:val="00D038B8"/>
    <w:rsid w:val="00D06980"/>
    <w:rsid w:val="00D1439D"/>
    <w:rsid w:val="00D15D9D"/>
    <w:rsid w:val="00D16E19"/>
    <w:rsid w:val="00D1740C"/>
    <w:rsid w:val="00D22321"/>
    <w:rsid w:val="00D30841"/>
    <w:rsid w:val="00D326D6"/>
    <w:rsid w:val="00D36F49"/>
    <w:rsid w:val="00D425B3"/>
    <w:rsid w:val="00D44057"/>
    <w:rsid w:val="00D47618"/>
    <w:rsid w:val="00D559E2"/>
    <w:rsid w:val="00D56406"/>
    <w:rsid w:val="00D634AE"/>
    <w:rsid w:val="00D669A5"/>
    <w:rsid w:val="00D67911"/>
    <w:rsid w:val="00D71726"/>
    <w:rsid w:val="00D768E4"/>
    <w:rsid w:val="00D77D6E"/>
    <w:rsid w:val="00D90DFE"/>
    <w:rsid w:val="00D96242"/>
    <w:rsid w:val="00DA4F53"/>
    <w:rsid w:val="00DA6765"/>
    <w:rsid w:val="00DB0D4A"/>
    <w:rsid w:val="00DC15A3"/>
    <w:rsid w:val="00DC3321"/>
    <w:rsid w:val="00DC46D3"/>
    <w:rsid w:val="00DD4DA0"/>
    <w:rsid w:val="00DD59FA"/>
    <w:rsid w:val="00DE0713"/>
    <w:rsid w:val="00DE5CC3"/>
    <w:rsid w:val="00DF41F5"/>
    <w:rsid w:val="00DF61B3"/>
    <w:rsid w:val="00E0045E"/>
    <w:rsid w:val="00E07427"/>
    <w:rsid w:val="00E07EB7"/>
    <w:rsid w:val="00E101C2"/>
    <w:rsid w:val="00E13A1B"/>
    <w:rsid w:val="00E16FB9"/>
    <w:rsid w:val="00E22D05"/>
    <w:rsid w:val="00E31800"/>
    <w:rsid w:val="00E36CFE"/>
    <w:rsid w:val="00E403C8"/>
    <w:rsid w:val="00E419C0"/>
    <w:rsid w:val="00E46F59"/>
    <w:rsid w:val="00E5358C"/>
    <w:rsid w:val="00E5378D"/>
    <w:rsid w:val="00E57007"/>
    <w:rsid w:val="00E6364F"/>
    <w:rsid w:val="00E6467C"/>
    <w:rsid w:val="00E668E8"/>
    <w:rsid w:val="00E6697E"/>
    <w:rsid w:val="00E734B9"/>
    <w:rsid w:val="00E74944"/>
    <w:rsid w:val="00E74F4C"/>
    <w:rsid w:val="00E76277"/>
    <w:rsid w:val="00E80DCF"/>
    <w:rsid w:val="00E86970"/>
    <w:rsid w:val="00E9025A"/>
    <w:rsid w:val="00E91DE3"/>
    <w:rsid w:val="00E93AA2"/>
    <w:rsid w:val="00E97B91"/>
    <w:rsid w:val="00EA1475"/>
    <w:rsid w:val="00EA37EE"/>
    <w:rsid w:val="00EA3DD7"/>
    <w:rsid w:val="00EA6853"/>
    <w:rsid w:val="00EB2EFC"/>
    <w:rsid w:val="00EC1E10"/>
    <w:rsid w:val="00EC5A52"/>
    <w:rsid w:val="00EC6505"/>
    <w:rsid w:val="00EC6756"/>
    <w:rsid w:val="00EC7C6A"/>
    <w:rsid w:val="00EC7D58"/>
    <w:rsid w:val="00EC7ECD"/>
    <w:rsid w:val="00ED0F2A"/>
    <w:rsid w:val="00ED1AE7"/>
    <w:rsid w:val="00ED3CA2"/>
    <w:rsid w:val="00ED5E16"/>
    <w:rsid w:val="00EE0941"/>
    <w:rsid w:val="00EE3DAF"/>
    <w:rsid w:val="00EF0824"/>
    <w:rsid w:val="00EF4A06"/>
    <w:rsid w:val="00EF57E4"/>
    <w:rsid w:val="00EF5F47"/>
    <w:rsid w:val="00EF7EDB"/>
    <w:rsid w:val="00F00016"/>
    <w:rsid w:val="00F14AD5"/>
    <w:rsid w:val="00F156E0"/>
    <w:rsid w:val="00F16224"/>
    <w:rsid w:val="00F20016"/>
    <w:rsid w:val="00F20210"/>
    <w:rsid w:val="00F20375"/>
    <w:rsid w:val="00F23B49"/>
    <w:rsid w:val="00F27F8A"/>
    <w:rsid w:val="00F30DA6"/>
    <w:rsid w:val="00F321CE"/>
    <w:rsid w:val="00F372F6"/>
    <w:rsid w:val="00F43228"/>
    <w:rsid w:val="00F46EAA"/>
    <w:rsid w:val="00F47B2E"/>
    <w:rsid w:val="00F508C3"/>
    <w:rsid w:val="00F54A94"/>
    <w:rsid w:val="00F562B6"/>
    <w:rsid w:val="00F569F4"/>
    <w:rsid w:val="00F6158E"/>
    <w:rsid w:val="00F63130"/>
    <w:rsid w:val="00F65EEA"/>
    <w:rsid w:val="00F74958"/>
    <w:rsid w:val="00F75E08"/>
    <w:rsid w:val="00F77F69"/>
    <w:rsid w:val="00F90F5C"/>
    <w:rsid w:val="00F95E16"/>
    <w:rsid w:val="00F974E3"/>
    <w:rsid w:val="00FA0B35"/>
    <w:rsid w:val="00FA0C9B"/>
    <w:rsid w:val="00FA0E1F"/>
    <w:rsid w:val="00FA33CE"/>
    <w:rsid w:val="00FA4671"/>
    <w:rsid w:val="00FA7018"/>
    <w:rsid w:val="00FB6B53"/>
    <w:rsid w:val="00FB7AE0"/>
    <w:rsid w:val="00FD260B"/>
    <w:rsid w:val="00FD46EA"/>
    <w:rsid w:val="00FD597E"/>
    <w:rsid w:val="00FD7C11"/>
    <w:rsid w:val="00FE0E60"/>
    <w:rsid w:val="00FE1BEC"/>
    <w:rsid w:val="00FE4A16"/>
    <w:rsid w:val="00FF1427"/>
    <w:rsid w:val="00FF1C46"/>
    <w:rsid w:val="00FF2F1E"/>
    <w:rsid w:val="00FF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6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4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46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6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46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58760">
      <w:bodyDiv w:val="1"/>
      <w:marLeft w:val="0"/>
      <w:marRight w:val="0"/>
      <w:marTop w:val="0"/>
      <w:marBottom w:val="0"/>
      <w:divBdr>
        <w:top w:val="none" w:sz="0" w:space="0" w:color="auto"/>
        <w:left w:val="none" w:sz="0" w:space="0" w:color="auto"/>
        <w:bottom w:val="none" w:sz="0" w:space="0" w:color="auto"/>
        <w:right w:val="none" w:sz="0" w:space="0" w:color="auto"/>
      </w:divBdr>
      <w:divsChild>
        <w:div w:id="931082860">
          <w:marLeft w:val="0"/>
          <w:marRight w:val="0"/>
          <w:marTop w:val="0"/>
          <w:marBottom w:val="0"/>
          <w:divBdr>
            <w:top w:val="none" w:sz="0" w:space="0" w:color="auto"/>
            <w:left w:val="none" w:sz="0" w:space="0" w:color="auto"/>
            <w:bottom w:val="none" w:sz="0" w:space="0" w:color="auto"/>
            <w:right w:val="none" w:sz="0" w:space="0" w:color="auto"/>
          </w:divBdr>
          <w:divsChild>
            <w:div w:id="1237787782">
              <w:marLeft w:val="0"/>
              <w:marRight w:val="0"/>
              <w:marTop w:val="0"/>
              <w:marBottom w:val="0"/>
              <w:divBdr>
                <w:top w:val="none" w:sz="0" w:space="0" w:color="auto"/>
                <w:left w:val="none" w:sz="0" w:space="0" w:color="auto"/>
                <w:bottom w:val="none" w:sz="0" w:space="0" w:color="auto"/>
                <w:right w:val="none" w:sz="0" w:space="0" w:color="auto"/>
              </w:divBdr>
              <w:divsChild>
                <w:div w:id="383068701">
                  <w:marLeft w:val="0"/>
                  <w:marRight w:val="0"/>
                  <w:marTop w:val="0"/>
                  <w:marBottom w:val="0"/>
                  <w:divBdr>
                    <w:top w:val="none" w:sz="0" w:space="0" w:color="auto"/>
                    <w:left w:val="none" w:sz="0" w:space="0" w:color="auto"/>
                    <w:bottom w:val="none" w:sz="0" w:space="0" w:color="auto"/>
                    <w:right w:val="none" w:sz="0" w:space="0" w:color="auto"/>
                  </w:divBdr>
                  <w:divsChild>
                    <w:div w:id="1664434206">
                      <w:marLeft w:val="0"/>
                      <w:marRight w:val="0"/>
                      <w:marTop w:val="0"/>
                      <w:marBottom w:val="0"/>
                      <w:divBdr>
                        <w:top w:val="none" w:sz="0" w:space="0" w:color="auto"/>
                        <w:left w:val="none" w:sz="0" w:space="0" w:color="auto"/>
                        <w:bottom w:val="none" w:sz="0" w:space="0" w:color="auto"/>
                        <w:right w:val="none" w:sz="0" w:space="0" w:color="auto"/>
                      </w:divBdr>
                      <w:divsChild>
                        <w:div w:id="1071737239">
                          <w:marLeft w:val="0"/>
                          <w:marRight w:val="0"/>
                          <w:marTop w:val="0"/>
                          <w:marBottom w:val="0"/>
                          <w:divBdr>
                            <w:top w:val="none" w:sz="0" w:space="0" w:color="auto"/>
                            <w:left w:val="none" w:sz="0" w:space="0" w:color="auto"/>
                            <w:bottom w:val="none" w:sz="0" w:space="0" w:color="auto"/>
                            <w:right w:val="none" w:sz="0" w:space="0" w:color="auto"/>
                          </w:divBdr>
                        </w:div>
                      </w:divsChild>
                    </w:div>
                    <w:div w:id="917637945">
                      <w:marLeft w:val="0"/>
                      <w:marRight w:val="0"/>
                      <w:marTop w:val="0"/>
                      <w:marBottom w:val="0"/>
                      <w:divBdr>
                        <w:top w:val="none" w:sz="0" w:space="0" w:color="auto"/>
                        <w:left w:val="none" w:sz="0" w:space="0" w:color="auto"/>
                        <w:bottom w:val="none" w:sz="0" w:space="0" w:color="auto"/>
                        <w:right w:val="none" w:sz="0" w:space="0" w:color="auto"/>
                      </w:divBdr>
                      <w:divsChild>
                        <w:div w:id="17604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2037">
                  <w:marLeft w:val="0"/>
                  <w:marRight w:val="0"/>
                  <w:marTop w:val="0"/>
                  <w:marBottom w:val="0"/>
                  <w:divBdr>
                    <w:top w:val="none" w:sz="0" w:space="0" w:color="auto"/>
                    <w:left w:val="none" w:sz="0" w:space="0" w:color="auto"/>
                    <w:bottom w:val="none" w:sz="0" w:space="0" w:color="auto"/>
                    <w:right w:val="none" w:sz="0" w:space="0" w:color="auto"/>
                  </w:divBdr>
                  <w:divsChild>
                    <w:div w:id="1779569789">
                      <w:marLeft w:val="0"/>
                      <w:marRight w:val="0"/>
                      <w:marTop w:val="0"/>
                      <w:marBottom w:val="0"/>
                      <w:divBdr>
                        <w:top w:val="none" w:sz="0" w:space="0" w:color="auto"/>
                        <w:left w:val="none" w:sz="0" w:space="0" w:color="auto"/>
                        <w:bottom w:val="none" w:sz="0" w:space="0" w:color="auto"/>
                        <w:right w:val="none" w:sz="0" w:space="0" w:color="auto"/>
                      </w:divBdr>
                      <w:divsChild>
                        <w:div w:id="555236993">
                          <w:marLeft w:val="0"/>
                          <w:marRight w:val="0"/>
                          <w:marTop w:val="0"/>
                          <w:marBottom w:val="0"/>
                          <w:divBdr>
                            <w:top w:val="none" w:sz="0" w:space="0" w:color="auto"/>
                            <w:left w:val="none" w:sz="0" w:space="0" w:color="auto"/>
                            <w:bottom w:val="none" w:sz="0" w:space="0" w:color="auto"/>
                            <w:right w:val="none" w:sz="0" w:space="0" w:color="auto"/>
                          </w:divBdr>
                        </w:div>
                      </w:divsChild>
                    </w:div>
                    <w:div w:id="1506940404">
                      <w:marLeft w:val="0"/>
                      <w:marRight w:val="0"/>
                      <w:marTop w:val="0"/>
                      <w:marBottom w:val="0"/>
                      <w:divBdr>
                        <w:top w:val="none" w:sz="0" w:space="0" w:color="auto"/>
                        <w:left w:val="none" w:sz="0" w:space="0" w:color="auto"/>
                        <w:bottom w:val="none" w:sz="0" w:space="0" w:color="auto"/>
                        <w:right w:val="none" w:sz="0" w:space="0" w:color="auto"/>
                      </w:divBdr>
                      <w:divsChild>
                        <w:div w:id="1903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5702">
                  <w:marLeft w:val="0"/>
                  <w:marRight w:val="0"/>
                  <w:marTop w:val="0"/>
                  <w:marBottom w:val="0"/>
                  <w:divBdr>
                    <w:top w:val="none" w:sz="0" w:space="0" w:color="auto"/>
                    <w:left w:val="none" w:sz="0" w:space="0" w:color="auto"/>
                    <w:bottom w:val="none" w:sz="0" w:space="0" w:color="auto"/>
                    <w:right w:val="none" w:sz="0" w:space="0" w:color="auto"/>
                  </w:divBdr>
                  <w:divsChild>
                    <w:div w:id="1434134057">
                      <w:marLeft w:val="0"/>
                      <w:marRight w:val="0"/>
                      <w:marTop w:val="0"/>
                      <w:marBottom w:val="0"/>
                      <w:divBdr>
                        <w:top w:val="none" w:sz="0" w:space="0" w:color="auto"/>
                        <w:left w:val="none" w:sz="0" w:space="0" w:color="auto"/>
                        <w:bottom w:val="none" w:sz="0" w:space="0" w:color="auto"/>
                        <w:right w:val="none" w:sz="0" w:space="0" w:color="auto"/>
                      </w:divBdr>
                      <w:divsChild>
                        <w:div w:id="1296912582">
                          <w:marLeft w:val="0"/>
                          <w:marRight w:val="0"/>
                          <w:marTop w:val="0"/>
                          <w:marBottom w:val="0"/>
                          <w:divBdr>
                            <w:top w:val="none" w:sz="0" w:space="0" w:color="auto"/>
                            <w:left w:val="none" w:sz="0" w:space="0" w:color="auto"/>
                            <w:bottom w:val="none" w:sz="0" w:space="0" w:color="auto"/>
                            <w:right w:val="none" w:sz="0" w:space="0" w:color="auto"/>
                          </w:divBdr>
                        </w:div>
                      </w:divsChild>
                    </w:div>
                    <w:div w:id="1184200939">
                      <w:marLeft w:val="0"/>
                      <w:marRight w:val="0"/>
                      <w:marTop w:val="0"/>
                      <w:marBottom w:val="0"/>
                      <w:divBdr>
                        <w:top w:val="none" w:sz="0" w:space="0" w:color="auto"/>
                        <w:left w:val="none" w:sz="0" w:space="0" w:color="auto"/>
                        <w:bottom w:val="none" w:sz="0" w:space="0" w:color="auto"/>
                        <w:right w:val="none" w:sz="0" w:space="0" w:color="auto"/>
                      </w:divBdr>
                      <w:divsChild>
                        <w:div w:id="19608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1993">
                  <w:marLeft w:val="0"/>
                  <w:marRight w:val="0"/>
                  <w:marTop w:val="0"/>
                  <w:marBottom w:val="0"/>
                  <w:divBdr>
                    <w:top w:val="none" w:sz="0" w:space="0" w:color="auto"/>
                    <w:left w:val="none" w:sz="0" w:space="0" w:color="auto"/>
                    <w:bottom w:val="none" w:sz="0" w:space="0" w:color="auto"/>
                    <w:right w:val="none" w:sz="0" w:space="0" w:color="auto"/>
                  </w:divBdr>
                  <w:divsChild>
                    <w:div w:id="1129710336">
                      <w:marLeft w:val="0"/>
                      <w:marRight w:val="0"/>
                      <w:marTop w:val="0"/>
                      <w:marBottom w:val="0"/>
                      <w:divBdr>
                        <w:top w:val="none" w:sz="0" w:space="0" w:color="auto"/>
                        <w:left w:val="none" w:sz="0" w:space="0" w:color="auto"/>
                        <w:bottom w:val="none" w:sz="0" w:space="0" w:color="auto"/>
                        <w:right w:val="none" w:sz="0" w:space="0" w:color="auto"/>
                      </w:divBdr>
                      <w:divsChild>
                        <w:div w:id="1582789365">
                          <w:marLeft w:val="0"/>
                          <w:marRight w:val="0"/>
                          <w:marTop w:val="0"/>
                          <w:marBottom w:val="0"/>
                          <w:divBdr>
                            <w:top w:val="none" w:sz="0" w:space="0" w:color="auto"/>
                            <w:left w:val="none" w:sz="0" w:space="0" w:color="auto"/>
                            <w:bottom w:val="none" w:sz="0" w:space="0" w:color="auto"/>
                            <w:right w:val="none" w:sz="0" w:space="0" w:color="auto"/>
                          </w:divBdr>
                        </w:div>
                      </w:divsChild>
                    </w:div>
                    <w:div w:id="1280649812">
                      <w:marLeft w:val="0"/>
                      <w:marRight w:val="0"/>
                      <w:marTop w:val="0"/>
                      <w:marBottom w:val="0"/>
                      <w:divBdr>
                        <w:top w:val="none" w:sz="0" w:space="0" w:color="auto"/>
                        <w:left w:val="none" w:sz="0" w:space="0" w:color="auto"/>
                        <w:bottom w:val="none" w:sz="0" w:space="0" w:color="auto"/>
                        <w:right w:val="none" w:sz="0" w:space="0" w:color="auto"/>
                      </w:divBdr>
                      <w:divsChild>
                        <w:div w:id="7922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51751">
                  <w:marLeft w:val="0"/>
                  <w:marRight w:val="0"/>
                  <w:marTop w:val="0"/>
                  <w:marBottom w:val="0"/>
                  <w:divBdr>
                    <w:top w:val="none" w:sz="0" w:space="0" w:color="auto"/>
                    <w:left w:val="none" w:sz="0" w:space="0" w:color="auto"/>
                    <w:bottom w:val="none" w:sz="0" w:space="0" w:color="auto"/>
                    <w:right w:val="none" w:sz="0" w:space="0" w:color="auto"/>
                  </w:divBdr>
                  <w:divsChild>
                    <w:div w:id="414984565">
                      <w:marLeft w:val="0"/>
                      <w:marRight w:val="0"/>
                      <w:marTop w:val="0"/>
                      <w:marBottom w:val="0"/>
                      <w:divBdr>
                        <w:top w:val="none" w:sz="0" w:space="0" w:color="auto"/>
                        <w:left w:val="none" w:sz="0" w:space="0" w:color="auto"/>
                        <w:bottom w:val="none" w:sz="0" w:space="0" w:color="auto"/>
                        <w:right w:val="none" w:sz="0" w:space="0" w:color="auto"/>
                      </w:divBdr>
                      <w:divsChild>
                        <w:div w:id="1379280476">
                          <w:marLeft w:val="0"/>
                          <w:marRight w:val="0"/>
                          <w:marTop w:val="0"/>
                          <w:marBottom w:val="0"/>
                          <w:divBdr>
                            <w:top w:val="none" w:sz="0" w:space="0" w:color="auto"/>
                            <w:left w:val="none" w:sz="0" w:space="0" w:color="auto"/>
                            <w:bottom w:val="none" w:sz="0" w:space="0" w:color="auto"/>
                            <w:right w:val="none" w:sz="0" w:space="0" w:color="auto"/>
                          </w:divBdr>
                        </w:div>
                      </w:divsChild>
                    </w:div>
                    <w:div w:id="337539244">
                      <w:marLeft w:val="0"/>
                      <w:marRight w:val="0"/>
                      <w:marTop w:val="0"/>
                      <w:marBottom w:val="0"/>
                      <w:divBdr>
                        <w:top w:val="none" w:sz="0" w:space="0" w:color="auto"/>
                        <w:left w:val="none" w:sz="0" w:space="0" w:color="auto"/>
                        <w:bottom w:val="none" w:sz="0" w:space="0" w:color="auto"/>
                        <w:right w:val="none" w:sz="0" w:space="0" w:color="auto"/>
                      </w:divBdr>
                    </w:div>
                  </w:divsChild>
                </w:div>
                <w:div w:id="183400772">
                  <w:marLeft w:val="0"/>
                  <w:marRight w:val="0"/>
                  <w:marTop w:val="0"/>
                  <w:marBottom w:val="0"/>
                  <w:divBdr>
                    <w:top w:val="none" w:sz="0" w:space="0" w:color="auto"/>
                    <w:left w:val="none" w:sz="0" w:space="0" w:color="auto"/>
                    <w:bottom w:val="none" w:sz="0" w:space="0" w:color="auto"/>
                    <w:right w:val="none" w:sz="0" w:space="0" w:color="auto"/>
                  </w:divBdr>
                  <w:divsChild>
                    <w:div w:id="1511986009">
                      <w:marLeft w:val="0"/>
                      <w:marRight w:val="0"/>
                      <w:marTop w:val="0"/>
                      <w:marBottom w:val="0"/>
                      <w:divBdr>
                        <w:top w:val="none" w:sz="0" w:space="0" w:color="auto"/>
                        <w:left w:val="none" w:sz="0" w:space="0" w:color="auto"/>
                        <w:bottom w:val="none" w:sz="0" w:space="0" w:color="auto"/>
                        <w:right w:val="none" w:sz="0" w:space="0" w:color="auto"/>
                      </w:divBdr>
                      <w:divsChild>
                        <w:div w:id="437412179">
                          <w:marLeft w:val="0"/>
                          <w:marRight w:val="0"/>
                          <w:marTop w:val="0"/>
                          <w:marBottom w:val="0"/>
                          <w:divBdr>
                            <w:top w:val="none" w:sz="0" w:space="0" w:color="auto"/>
                            <w:left w:val="none" w:sz="0" w:space="0" w:color="auto"/>
                            <w:bottom w:val="none" w:sz="0" w:space="0" w:color="auto"/>
                            <w:right w:val="none" w:sz="0" w:space="0" w:color="auto"/>
                          </w:divBdr>
                        </w:div>
                      </w:divsChild>
                    </w:div>
                    <w:div w:id="409304487">
                      <w:marLeft w:val="0"/>
                      <w:marRight w:val="0"/>
                      <w:marTop w:val="0"/>
                      <w:marBottom w:val="0"/>
                      <w:divBdr>
                        <w:top w:val="none" w:sz="0" w:space="0" w:color="auto"/>
                        <w:left w:val="none" w:sz="0" w:space="0" w:color="auto"/>
                        <w:bottom w:val="none" w:sz="0" w:space="0" w:color="auto"/>
                        <w:right w:val="none" w:sz="0" w:space="0" w:color="auto"/>
                      </w:divBdr>
                      <w:divsChild>
                        <w:div w:id="10715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7151</Characters>
  <Application>Microsoft Office Word</Application>
  <DocSecurity>0</DocSecurity>
  <Lines>59</Lines>
  <Paragraphs>16</Paragraphs>
  <ScaleCrop>false</ScaleCrop>
  <Company>SanBuild &amp; SPecialiST RePack</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dc:creator>
  <cp:keywords/>
  <dc:description/>
  <cp:lastModifiedBy>Trud</cp:lastModifiedBy>
  <cp:revision>2</cp:revision>
  <dcterms:created xsi:type="dcterms:W3CDTF">2024-06-22T10:58:00Z</dcterms:created>
  <dcterms:modified xsi:type="dcterms:W3CDTF">2024-06-22T11:00:00Z</dcterms:modified>
</cp:coreProperties>
</file>