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3"/>
        <w:pBdr/>
        <w:shd w:val="clear" w:color="auto" w:fill="ffffff"/>
        <w:spacing/>
        <w:ind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</w:t>
      </w:r>
      <w:r>
        <w:rPr>
          <w:b/>
          <w:sz w:val="30"/>
          <w:szCs w:val="30"/>
        </w:rPr>
        <w:t xml:space="preserve">редседатель райисполкома</w:t>
      </w:r>
      <w:r>
        <w:rPr>
          <w:b/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</w:r>
      <w:r>
        <w:rPr>
          <w:b/>
          <w:sz w:val="30"/>
          <w:szCs w:val="30"/>
        </w:rPr>
        <w:t xml:space="preserve">Карталевский Виталий Петрович</w:t>
      </w:r>
      <w:r>
        <w:rPr>
          <w:b/>
          <w:sz w:val="30"/>
          <w:szCs w:val="30"/>
        </w:rPr>
      </w:r>
      <w:r>
        <w:rPr>
          <w:b/>
          <w:sz w:val="30"/>
          <w:szCs w:val="30"/>
        </w:rPr>
      </w:r>
    </w:p>
    <w:p>
      <w:pPr>
        <w:pStyle w:val="723"/>
        <w:pBdr/>
        <w:shd w:val="clear" w:color="auto" w:fill="ffffff"/>
        <w:spacing/>
        <w:ind/>
        <w:jc w:val="both"/>
        <w:rPr>
          <w:sz w:val="30"/>
          <w:szCs w:val="30"/>
        </w:rPr>
      </w:pP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pacing w:val="-1"/>
          <w:sz w:val="30"/>
          <w:szCs w:val="30"/>
        </w:rPr>
      </w:pPr>
      <w:r>
        <w:rPr>
          <w:sz w:val="30"/>
          <w:szCs w:val="30"/>
        </w:rPr>
        <w:t xml:space="preserve">Р</w:t>
      </w:r>
      <w:r>
        <w:rPr>
          <w:sz w:val="30"/>
          <w:szCs w:val="30"/>
        </w:rPr>
        <w:t xml:space="preserve">уководство деятельностью рай</w:t>
      </w:r>
      <w:r>
        <w:rPr>
          <w:spacing w:val="-1"/>
          <w:sz w:val="30"/>
          <w:szCs w:val="30"/>
        </w:rPr>
        <w:t xml:space="preserve">исполкома,</w:t>
      </w:r>
      <w:r>
        <w:rPr>
          <w:spacing w:val="-1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 xml:space="preserve">гражданской и территориальной обороной района. Координация деятельности управлений и отделов райисполкома, районных служб, организаций, сельских исполнительных комитетов. Взаимодействие с Витебским областным ис</w:t>
      </w:r>
      <w:r>
        <w:rPr>
          <w:spacing w:val="-1"/>
          <w:sz w:val="30"/>
          <w:szCs w:val="30"/>
        </w:rPr>
        <w:t xml:space="preserve">полнительным комитетом, Витебским областным и Толочинским районными Советами депутатов. Вопросы финансово-кредитной системы, правоохранительных органов, суда, прокуратуры, подбора и расстановки руководящих кадров, контрольной и аналитической деятельности. </w:t>
      </w:r>
      <w:r>
        <w:rPr>
          <w:spacing w:val="-1"/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pacing w:val="-1"/>
          <w:sz w:val="30"/>
          <w:szCs w:val="30"/>
        </w:rPr>
        <w:t xml:space="preserve">Координация деятельности управлений и отделом райисполкома, районных служб, организаций, сельских исполнительных комитетов.  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/>
        <w:rPr>
          <w:sz w:val="30"/>
          <w:szCs w:val="30"/>
        </w:rPr>
      </w:pP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 xml:space="preserve">Структурные подразделения райисполкома:</w:t>
      </w:r>
      <w:r>
        <w:rPr>
          <w:sz w:val="30"/>
          <w:szCs w:val="30"/>
          <w:u w:val="single"/>
        </w:rPr>
        <w:t xml:space="preserve"> </w:t>
      </w:r>
      <w:r>
        <w:rPr>
          <w:sz w:val="30"/>
          <w:szCs w:val="30"/>
          <w:u w:val="single"/>
        </w:rPr>
      </w:r>
      <w:r>
        <w:rPr>
          <w:sz w:val="30"/>
          <w:szCs w:val="30"/>
          <w:u w:val="single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управлени</w:t>
      </w:r>
      <w:r>
        <w:rPr>
          <w:sz w:val="30"/>
          <w:szCs w:val="30"/>
        </w:rPr>
        <w:t xml:space="preserve">е</w:t>
      </w:r>
      <w:r>
        <w:rPr>
          <w:sz w:val="30"/>
          <w:szCs w:val="30"/>
        </w:rPr>
        <w:t xml:space="preserve"> делами райисполкома; 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отдел внутренних дел райисполкома; 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отдел организационно-кадровой работы райисполкома; 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финансов</w:t>
      </w:r>
      <w:r>
        <w:rPr>
          <w:sz w:val="30"/>
          <w:szCs w:val="30"/>
        </w:rPr>
        <w:t xml:space="preserve">ый отдел райисполкома.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 xml:space="preserve">Вопросы:</w:t>
      </w:r>
      <w:r>
        <w:rPr>
          <w:sz w:val="30"/>
          <w:szCs w:val="30"/>
          <w:u w:val="single"/>
        </w:rPr>
      </w:r>
      <w:r>
        <w:rPr>
          <w:sz w:val="30"/>
          <w:szCs w:val="30"/>
          <w:u w:val="single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</w:t>
      </w:r>
      <w:r>
        <w:rPr>
          <w:sz w:val="30"/>
          <w:szCs w:val="30"/>
        </w:rPr>
        <w:t xml:space="preserve">еализации в районе Государственной кадровой политики, подбор, расстановка, повышение квалификации и переподготовка кадров;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бюджета, финансов;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прокур</w:t>
      </w:r>
      <w:r>
        <w:rPr>
          <w:sz w:val="30"/>
          <w:szCs w:val="30"/>
        </w:rPr>
        <w:t xml:space="preserve">атуры Толочинского района;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суда Толочинского района; 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Толочинского отделения Департамента охраны Министерства внутренних дел Республики Беларусь;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Толочинского районного отдела Следственного комитета Республики Беларусь;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Толочинского районного военного комиссариата;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pacing w:val="-1"/>
          <w:sz w:val="30"/>
          <w:szCs w:val="30"/>
        </w:rPr>
        <w:t xml:space="preserve">центра</w:t>
      </w:r>
      <w:r>
        <w:rPr>
          <w:spacing w:val="-1"/>
          <w:sz w:val="30"/>
          <w:szCs w:val="30"/>
        </w:rPr>
        <w:t xml:space="preserve"> банковских услуг</w:t>
      </w:r>
      <w:r>
        <w:rPr>
          <w:spacing w:val="-1"/>
          <w:sz w:val="30"/>
          <w:szCs w:val="30"/>
        </w:rPr>
        <w:t xml:space="preserve"> № </w:t>
      </w:r>
      <w:r>
        <w:rPr>
          <w:spacing w:val="-1"/>
          <w:sz w:val="30"/>
          <w:szCs w:val="30"/>
        </w:rPr>
        <w:t xml:space="preserve">2</w:t>
      </w:r>
      <w:r>
        <w:rPr>
          <w:spacing w:val="-1"/>
          <w:sz w:val="30"/>
          <w:szCs w:val="30"/>
        </w:rPr>
        <w:t xml:space="preserve">25 в г.Толочине </w:t>
      </w:r>
      <w:r>
        <w:rPr>
          <w:spacing w:val="-1"/>
          <w:sz w:val="30"/>
          <w:szCs w:val="30"/>
        </w:rPr>
        <w:t xml:space="preserve">Региональной дирекции </w:t>
      </w:r>
      <w:r>
        <w:rPr>
          <w:spacing w:val="-1"/>
          <w:sz w:val="30"/>
          <w:szCs w:val="30"/>
        </w:rPr>
        <w:t xml:space="preserve">по Витебской области </w:t>
      </w:r>
      <w:r>
        <w:rPr>
          <w:spacing w:val="-1"/>
          <w:sz w:val="30"/>
          <w:szCs w:val="30"/>
        </w:rPr>
        <w:t xml:space="preserve">открытого акционерного общества </w:t>
      </w:r>
      <w:r>
        <w:rPr>
          <w:spacing w:val="-1"/>
          <w:sz w:val="30"/>
          <w:szCs w:val="30"/>
        </w:rPr>
        <w:t xml:space="preserve">«</w:t>
      </w:r>
      <w:r>
        <w:rPr>
          <w:spacing w:val="-1"/>
          <w:sz w:val="30"/>
          <w:szCs w:val="30"/>
        </w:rPr>
        <w:t xml:space="preserve">Белагропромбанк</w:t>
      </w:r>
      <w:r>
        <w:rPr>
          <w:spacing w:val="-1"/>
          <w:sz w:val="30"/>
          <w:szCs w:val="30"/>
        </w:rPr>
        <w:t xml:space="preserve">»</w:t>
      </w:r>
      <w:r>
        <w:rPr>
          <w:sz w:val="30"/>
          <w:szCs w:val="30"/>
        </w:rPr>
        <w:t xml:space="preserve">;</w:t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центра банковских услуг № </w:t>
      </w:r>
      <w:r>
        <w:rPr>
          <w:sz w:val="30"/>
          <w:szCs w:val="30"/>
        </w:rPr>
        <w:t xml:space="preserve">219</w:t>
      </w:r>
      <w:r>
        <w:rPr>
          <w:sz w:val="30"/>
          <w:szCs w:val="30"/>
        </w:rPr>
        <w:t xml:space="preserve"> открытого акционерного общества </w:t>
      </w:r>
      <w:r>
        <w:rPr>
          <w:sz w:val="30"/>
          <w:szCs w:val="30"/>
        </w:rPr>
        <w:t xml:space="preserve">«</w:t>
      </w:r>
      <w:r>
        <w:rPr>
          <w:sz w:val="30"/>
          <w:szCs w:val="30"/>
        </w:rPr>
        <w:t xml:space="preserve">АСБ Беларусбанк</w:t>
      </w:r>
      <w:r>
        <w:rPr>
          <w:sz w:val="30"/>
          <w:szCs w:val="30"/>
        </w:rPr>
        <w:t xml:space="preserve">»</w:t>
      </w:r>
      <w:r>
        <w:rPr>
          <w:sz w:val="30"/>
          <w:szCs w:val="30"/>
        </w:rPr>
        <w:t xml:space="preserve"> в г.</w:t>
      </w:r>
      <w:r>
        <w:rPr>
          <w:sz w:val="30"/>
          <w:szCs w:val="30"/>
        </w:rPr>
        <w:t xml:space="preserve">Толочине</w:t>
      </w:r>
      <w:r>
        <w:rPr>
          <w:sz w:val="30"/>
          <w:szCs w:val="30"/>
        </w:rPr>
        <w:t xml:space="preserve">;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сельских исполнительных комитетов.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3"/>
        <w:pBdr/>
        <w:shd w:val="clear" w:color="auto" w:fill="ffffff"/>
        <w:spacing/>
        <w:ind w:firstLine="720"/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 xml:space="preserve">Р</w:t>
      </w:r>
      <w:r>
        <w:rPr>
          <w:sz w:val="30"/>
          <w:szCs w:val="30"/>
          <w:u w:val="single"/>
        </w:rPr>
        <w:t xml:space="preserve">уководство</w:t>
      </w:r>
      <w:r>
        <w:rPr>
          <w:sz w:val="30"/>
          <w:szCs w:val="30"/>
          <w:u w:val="single"/>
        </w:rPr>
        <w:t xml:space="preserve"> комиссиями</w:t>
      </w:r>
      <w:r>
        <w:rPr>
          <w:sz w:val="30"/>
          <w:szCs w:val="30"/>
          <w:u w:val="single"/>
        </w:rPr>
        <w:t xml:space="preserve">:</w:t>
      </w:r>
      <w:r>
        <w:rPr>
          <w:sz w:val="30"/>
          <w:szCs w:val="30"/>
          <w:u w:val="single"/>
        </w:rPr>
      </w:r>
      <w:r>
        <w:rPr>
          <w:sz w:val="30"/>
          <w:szCs w:val="30"/>
          <w:u w:val="single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проведению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аттестаци</w:t>
      </w:r>
      <w:r>
        <w:rPr>
          <w:sz w:val="30"/>
          <w:szCs w:val="30"/>
        </w:rPr>
        <w:t xml:space="preserve">и государственных служащих, </w:t>
      </w:r>
      <w:r>
        <w:rPr>
          <w:sz w:val="30"/>
          <w:szCs w:val="30"/>
        </w:rPr>
        <w:t xml:space="preserve">аппарата райисполкома, его структурных подразделений, сельских исполнительных комитетов, руководителей организаций районной коммунальной формы собственности, работников государственного учреждения «Толочинский районный архив»</w:t>
      </w:r>
      <w:r>
        <w:rPr>
          <w:sz w:val="30"/>
          <w:szCs w:val="30"/>
        </w:rPr>
        <w:t xml:space="preserve">;</w:t>
      </w: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pStyle w:val="723"/>
        <w:pBdr/>
        <w:shd w:val="clear" w:color="auto" w:fill="ffffff"/>
        <w:spacing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противодействию коррупции при Толочинском р</w:t>
      </w:r>
      <w:r>
        <w:rPr>
          <w:sz w:val="30"/>
          <w:szCs w:val="30"/>
        </w:rPr>
        <w:t xml:space="preserve">айонном исполнительном комитете</w:t>
      </w:r>
      <w:r>
        <w:rPr>
          <w:sz w:val="30"/>
          <w:szCs w:val="30"/>
        </w:rPr>
        <w:t xml:space="preserve">.</w:t>
      </w:r>
      <w:r>
        <w:rPr>
          <w:sz w:val="30"/>
          <w:szCs w:val="30"/>
        </w:rPr>
      </w:r>
      <w:r>
        <w:rPr>
          <w:sz w:val="30"/>
          <w:szCs w:val="30"/>
        </w:rPr>
      </w:r>
    </w:p>
    <w:sectPr>
      <w:headerReference w:type="default" r:id="rId9"/>
      <w:headerReference w:type="even" r:id="rId10"/>
      <w:footnotePr/>
      <w:endnotePr>
        <w:numFmt w:val="decimal"/>
      </w:endnotePr>
      <w:type w:val="nextPage"/>
      <w:pgSz w:h="16840" w:orient="portrait" w:w="11907"/>
      <w:pgMar w:top="567" w:right="567" w:bottom="794" w:left="1701" w:header="720" w:footer="720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framePr w:hAnchor="margin" w:vAnchor="text" w:wrap="around" w:xAlign="center" w:y="1"/>
      <w:pBdr/>
      <w:spacing/>
      <w:ind/>
      <w:rPr>
        <w:rStyle w:val="736"/>
      </w:rPr>
    </w:pPr>
    <w:r>
      <w:rPr>
        <w:rStyle w:val="736"/>
      </w:rPr>
      <w:fldChar w:fldCharType="begin"/>
    </w:r>
    <w:r>
      <w:rPr>
        <w:rStyle w:val="736"/>
      </w:rPr>
      <w:instrText xml:space="preserve">PAGE  </w:instrText>
    </w:r>
    <w:r>
      <w:rPr>
        <w:rStyle w:val="736"/>
      </w:rPr>
      <w:fldChar w:fldCharType="separate"/>
    </w:r>
    <w:r>
      <w:rPr>
        <w:rStyle w:val="736"/>
      </w:rPr>
      <w:t xml:space="preserve">2</w:t>
    </w:r>
    <w:r>
      <w:rPr>
        <w:rStyle w:val="736"/>
      </w:rPr>
      <w:fldChar w:fldCharType="end"/>
    </w:r>
    <w:r>
      <w:rPr>
        <w:rStyle w:val="736"/>
      </w:rPr>
    </w:r>
    <w:r>
      <w:rPr>
        <w:rStyle w:val="736"/>
      </w:rPr>
    </w:r>
  </w:p>
  <w:p>
    <w:pPr>
      <w:pStyle w:val="735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  <w:framePr w:hAnchor="margin" w:vAnchor="text" w:wrap="around" w:xAlign="center" w:y="1"/>
      <w:pBdr/>
      <w:spacing/>
      <w:ind/>
      <w:rPr>
        <w:rStyle w:val="736"/>
      </w:rPr>
    </w:pPr>
    <w:r>
      <w:rPr>
        <w:rStyle w:val="736"/>
      </w:rPr>
      <w:fldChar w:fldCharType="begin"/>
    </w:r>
    <w:r>
      <w:rPr>
        <w:rStyle w:val="736"/>
      </w:rPr>
      <w:instrText xml:space="preserve">PAGE  </w:instrText>
    </w:r>
    <w:r>
      <w:rPr>
        <w:rStyle w:val="736"/>
      </w:rPr>
      <w:fldChar w:fldCharType="separate"/>
    </w:r>
    <w:r>
      <w:rPr>
        <w:rStyle w:val="736"/>
      </w:rPr>
      <w:t xml:space="preserve">1</w:t>
    </w:r>
    <w:r>
      <w:rPr>
        <w:rStyle w:val="736"/>
      </w:rPr>
      <w:fldChar w:fldCharType="end"/>
    </w:r>
    <w:r>
      <w:rPr>
        <w:rStyle w:val="736"/>
      </w:rPr>
    </w:r>
    <w:r>
      <w:rPr>
        <w:rStyle w:val="736"/>
      </w:rPr>
    </w:r>
  </w:p>
  <w:p>
    <w:pPr>
      <w:pStyle w:val="73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13196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2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/>
      <w:start w:val="1"/>
      <w:suff w:val="tab"/>
    </w:lvl>
  </w:abstractNum>
  <w:abstractNum w:abstractNumId="1">
    <w:nsid w:val="6AD8370C"/>
    <w:lvl w:ilvl="0">
      <w:isLgl w:val="false"/>
      <w:lvlJc w:val="left"/>
      <w:lvlText w:val="-"/>
      <w:numFmt w:val="bullet"/>
      <w:pPr>
        <w:pBdr/>
        <w:tabs>
          <w:tab w:val="num" w:leader="none" w:pos="1065"/>
        </w:tabs>
        <w:spacing/>
        <w:ind w:hanging="360" w:left="1065"/>
      </w:pPr>
      <w:rPr/>
      <w:start w:val="5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23"/>
    <w:next w:val="72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23"/>
    <w:next w:val="72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3"/>
    <w:next w:val="72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3"/>
    <w:next w:val="72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3"/>
    <w:next w:val="72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3"/>
    <w:next w:val="72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3"/>
    <w:next w:val="72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3"/>
    <w:next w:val="72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3"/>
    <w:next w:val="72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3"/>
    <w:next w:val="72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3"/>
    <w:next w:val="72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3"/>
    <w:next w:val="72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2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3"/>
    <w:next w:val="72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2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2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23"/>
    <w:next w:val="72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3"/>
    <w:next w:val="723"/>
    <w:uiPriority w:val="39"/>
    <w:unhideWhenUsed/>
    <w:pPr>
      <w:pBdr/>
      <w:spacing w:after="100"/>
      <w:ind/>
    </w:pPr>
  </w:style>
  <w:style w:type="paragraph" w:styleId="190">
    <w:name w:val="toc 2"/>
    <w:basedOn w:val="723"/>
    <w:next w:val="723"/>
    <w:uiPriority w:val="39"/>
    <w:unhideWhenUsed/>
    <w:pPr>
      <w:pBdr/>
      <w:spacing w:after="100"/>
      <w:ind w:left="220"/>
    </w:pPr>
  </w:style>
  <w:style w:type="paragraph" w:styleId="191">
    <w:name w:val="toc 3"/>
    <w:basedOn w:val="723"/>
    <w:next w:val="723"/>
    <w:uiPriority w:val="39"/>
    <w:unhideWhenUsed/>
    <w:pPr>
      <w:pBdr/>
      <w:spacing w:after="100"/>
      <w:ind w:left="440"/>
    </w:pPr>
  </w:style>
  <w:style w:type="paragraph" w:styleId="192">
    <w:name w:val="toc 4"/>
    <w:basedOn w:val="723"/>
    <w:next w:val="723"/>
    <w:uiPriority w:val="39"/>
    <w:unhideWhenUsed/>
    <w:pPr>
      <w:pBdr/>
      <w:spacing w:after="100"/>
      <w:ind w:left="660"/>
    </w:pPr>
  </w:style>
  <w:style w:type="paragraph" w:styleId="193">
    <w:name w:val="toc 5"/>
    <w:basedOn w:val="723"/>
    <w:next w:val="723"/>
    <w:uiPriority w:val="39"/>
    <w:unhideWhenUsed/>
    <w:pPr>
      <w:pBdr/>
      <w:spacing w:after="100"/>
      <w:ind w:left="880"/>
    </w:pPr>
  </w:style>
  <w:style w:type="paragraph" w:styleId="194">
    <w:name w:val="toc 6"/>
    <w:basedOn w:val="723"/>
    <w:next w:val="723"/>
    <w:uiPriority w:val="39"/>
    <w:unhideWhenUsed/>
    <w:pPr>
      <w:pBdr/>
      <w:spacing w:after="100"/>
      <w:ind w:left="1100"/>
    </w:pPr>
  </w:style>
  <w:style w:type="paragraph" w:styleId="195">
    <w:name w:val="toc 7"/>
    <w:basedOn w:val="723"/>
    <w:next w:val="723"/>
    <w:uiPriority w:val="39"/>
    <w:unhideWhenUsed/>
    <w:pPr>
      <w:pBdr/>
      <w:spacing w:after="100"/>
      <w:ind w:left="1320"/>
    </w:pPr>
  </w:style>
  <w:style w:type="paragraph" w:styleId="196">
    <w:name w:val="toc 8"/>
    <w:basedOn w:val="723"/>
    <w:next w:val="723"/>
    <w:uiPriority w:val="39"/>
    <w:unhideWhenUsed/>
    <w:pPr>
      <w:pBdr/>
      <w:spacing w:after="100"/>
      <w:ind w:left="1540"/>
    </w:pPr>
  </w:style>
  <w:style w:type="paragraph" w:styleId="197">
    <w:name w:val="toc 9"/>
    <w:basedOn w:val="723"/>
    <w:next w:val="72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3"/>
    <w:next w:val="723"/>
    <w:uiPriority w:val="99"/>
    <w:unhideWhenUsed/>
    <w:pPr>
      <w:pBdr/>
      <w:spacing w:after="0" w:afterAutospacing="0"/>
      <w:ind/>
    </w:pPr>
  </w:style>
  <w:style w:type="paragraph" w:styleId="723" w:default="1">
    <w:name w:val="Normal"/>
    <w:next w:val="723"/>
    <w:link w:val="723"/>
    <w:qFormat/>
    <w:pPr>
      <w:pBdr/>
      <w:spacing/>
      <w:ind/>
    </w:pPr>
    <w:rPr>
      <w:lang w:val="ru-RU" w:eastAsia="en-US" w:bidi="ar-SA"/>
    </w:rPr>
  </w:style>
  <w:style w:type="paragraph" w:styleId="724">
    <w:name w:val="Заголовок 1"/>
    <w:basedOn w:val="723"/>
    <w:next w:val="723"/>
    <w:link w:val="723"/>
    <w:qFormat/>
    <w:pPr>
      <w:keepNext w:val="true"/>
      <w:pBdr/>
      <w:spacing/>
      <w:ind/>
      <w:jc w:val="center"/>
      <w:outlineLvl w:val="0"/>
    </w:pPr>
    <w:rPr>
      <w:b/>
      <w:bCs/>
      <w:sz w:val="28"/>
    </w:rPr>
  </w:style>
  <w:style w:type="paragraph" w:styleId="725">
    <w:name w:val="Заголовок 2"/>
    <w:basedOn w:val="723"/>
    <w:next w:val="723"/>
    <w:link w:val="723"/>
    <w:qFormat/>
    <w:pPr>
      <w:keepNext w:val="true"/>
      <w:pBdr/>
      <w:spacing/>
      <w:ind/>
      <w:outlineLvl w:val="1"/>
    </w:pPr>
    <w:rPr>
      <w:sz w:val="24"/>
    </w:rPr>
  </w:style>
  <w:style w:type="paragraph" w:styleId="726">
    <w:name w:val="Заголовок 3"/>
    <w:basedOn w:val="723"/>
    <w:next w:val="723"/>
    <w:link w:val="723"/>
    <w:qFormat/>
    <w:pPr>
      <w:keepNext w:val="true"/>
      <w:pBdr/>
      <w:spacing/>
      <w:ind/>
      <w:jc w:val="both"/>
      <w:outlineLvl w:val="2"/>
    </w:pPr>
    <w:rPr>
      <w:sz w:val="28"/>
    </w:rPr>
  </w:style>
  <w:style w:type="paragraph" w:styleId="727">
    <w:name w:val="Заголовок 4"/>
    <w:basedOn w:val="723"/>
    <w:next w:val="723"/>
    <w:link w:val="723"/>
    <w:qFormat/>
    <w:pPr>
      <w:keepNext w:val="true"/>
      <w:pBdr/>
      <w:spacing/>
      <w:ind/>
      <w:jc w:val="center"/>
      <w:outlineLvl w:val="3"/>
    </w:pPr>
    <w:rPr>
      <w:sz w:val="40"/>
    </w:rPr>
  </w:style>
  <w:style w:type="paragraph" w:styleId="728">
    <w:name w:val="Заголовок 5"/>
    <w:basedOn w:val="723"/>
    <w:next w:val="723"/>
    <w:link w:val="723"/>
    <w:qFormat/>
    <w:pPr>
      <w:keepNext w:val="true"/>
      <w:pBdr/>
      <w:spacing/>
      <w:ind/>
      <w:jc w:val="center"/>
      <w:outlineLvl w:val="4"/>
    </w:pPr>
    <w:rPr>
      <w:sz w:val="28"/>
    </w:rPr>
  </w:style>
  <w:style w:type="character" w:styleId="729">
    <w:name w:val="Основной шрифт абзаца"/>
    <w:next w:val="729"/>
    <w:link w:val="723"/>
    <w:semiHidden/>
    <w:pPr>
      <w:pBdr/>
      <w:spacing/>
      <w:ind/>
    </w:pPr>
  </w:style>
  <w:style w:type="table" w:styleId="730">
    <w:name w:val="Обычная таблица"/>
    <w:next w:val="730"/>
    <w:link w:val="72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1">
    <w:name w:val="Нет списка"/>
    <w:next w:val="731"/>
    <w:link w:val="723"/>
    <w:semiHidden/>
    <w:pPr>
      <w:pBdr/>
      <w:spacing/>
      <w:ind/>
    </w:pPr>
  </w:style>
  <w:style w:type="paragraph" w:styleId="732">
    <w:name w:val="Body Text 2"/>
    <w:basedOn w:val="723"/>
    <w:next w:val="732"/>
    <w:link w:val="723"/>
    <w:pPr>
      <w:pBdr/>
      <w:spacing/>
      <w:ind w:firstLine="567"/>
      <w:jc w:val="both"/>
    </w:pPr>
    <w:rPr>
      <w:sz w:val="28"/>
    </w:rPr>
  </w:style>
  <w:style w:type="paragraph" w:styleId="733">
    <w:name w:val="Body Text Indent 2"/>
    <w:basedOn w:val="723"/>
    <w:next w:val="733"/>
    <w:link w:val="723"/>
    <w:pPr>
      <w:pBdr/>
      <w:spacing/>
      <w:ind w:firstLine="426"/>
      <w:jc w:val="both"/>
    </w:pPr>
    <w:rPr>
      <w:sz w:val="28"/>
    </w:rPr>
  </w:style>
  <w:style w:type="paragraph" w:styleId="734">
    <w:name w:val="Body Text Indent 3"/>
    <w:basedOn w:val="723"/>
    <w:next w:val="734"/>
    <w:link w:val="723"/>
    <w:pPr>
      <w:pBdr/>
      <w:spacing/>
      <w:ind w:firstLine="426"/>
      <w:jc w:val="both"/>
    </w:pPr>
    <w:rPr>
      <w:sz w:val="26"/>
    </w:rPr>
  </w:style>
  <w:style w:type="paragraph" w:styleId="735">
    <w:name w:val="Верхний колонтитул"/>
    <w:basedOn w:val="723"/>
    <w:next w:val="735"/>
    <w:link w:val="723"/>
    <w:pPr>
      <w:pBdr/>
      <w:tabs>
        <w:tab w:val="center" w:leader="none" w:pos="4153"/>
        <w:tab w:val="right" w:leader="none" w:pos="8306"/>
      </w:tabs>
      <w:spacing/>
      <w:ind/>
    </w:pPr>
  </w:style>
  <w:style w:type="character" w:styleId="736">
    <w:name w:val="Номер страницы"/>
    <w:basedOn w:val="729"/>
    <w:next w:val="736"/>
    <w:link w:val="723"/>
    <w:pPr>
      <w:pBdr/>
      <w:spacing/>
      <w:ind/>
    </w:pPr>
  </w:style>
  <w:style w:type="paragraph" w:styleId="737">
    <w:name w:val="Основной текст"/>
    <w:basedOn w:val="723"/>
    <w:next w:val="737"/>
    <w:link w:val="723"/>
    <w:pPr>
      <w:pBdr/>
      <w:spacing/>
      <w:ind/>
      <w:jc w:val="both"/>
    </w:pPr>
    <w:rPr>
      <w:sz w:val="28"/>
    </w:rPr>
  </w:style>
  <w:style w:type="paragraph" w:styleId="738">
    <w:name w:val="Текст выноски"/>
    <w:basedOn w:val="723"/>
    <w:next w:val="738"/>
    <w:link w:val="723"/>
    <w:semiHidden/>
    <w:pPr>
      <w:pBdr/>
      <w:spacing/>
      <w:ind/>
    </w:pPr>
    <w:rPr>
      <w:rFonts w:ascii="Tahoma" w:hAnsi="Tahoma" w:cs="Tahoma"/>
      <w:sz w:val="16"/>
      <w:szCs w:val="16"/>
    </w:rPr>
  </w:style>
  <w:style w:type="table" w:styleId="739">
    <w:name w:val="Сетка таблицы"/>
    <w:basedOn w:val="730"/>
    <w:next w:val="739"/>
    <w:link w:val="723"/>
    <w:pPr>
      <w:widowControl w:val="false"/>
      <w:pBdr/>
      <w:spacing/>
      <w:ind/>
    </w:pPr>
    <w:rPr>
      <w:lang w:bidi="ar-SA"/>
    </w:rPr>
    <w:tblPr>
      <w:tblInd w:w="0" w:type="dxa"/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Shtab GO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Толочин РОЧС</dc:creator>
  <cp:revision>5</cp:revision>
  <dcterms:created xsi:type="dcterms:W3CDTF">2022-10-04T06:10:00Z</dcterms:created>
  <dcterms:modified xsi:type="dcterms:W3CDTF">2026-09-30T08:33:20Z</dcterms:modified>
  <cp:version>983040</cp:version>
</cp:coreProperties>
</file>